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73"/>
        <w:gridCol w:w="7645"/>
        <w:gridCol w:w="2772"/>
      </w:tblGrid>
      <w:tr w:rsidR="005D0134" w14:paraId="1ABB383B" w14:textId="77777777" w:rsidTr="007F046B">
        <w:tc>
          <w:tcPr>
            <w:tcW w:w="378" w:type="dxa"/>
            <w:vMerge w:val="restart"/>
            <w:tcBorders>
              <w:top w:val="single" w:sz="4" w:space="0" w:color="95B3D7" w:themeColor="accent1" w:themeTint="99"/>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14:paraId="4A38163F" w14:textId="77777777" w:rsidR="005D0134" w:rsidRPr="00B976A9" w:rsidRDefault="005D0134" w:rsidP="007F046B">
            <w:pPr>
              <w:jc w:val="center"/>
              <w:rPr>
                <w:b/>
                <w:i/>
                <w:color w:val="95B3D7" w:themeColor="accent1" w:themeTint="99"/>
                <w:sz w:val="30"/>
                <w:szCs w:val="30"/>
              </w:rPr>
            </w:pPr>
          </w:p>
        </w:tc>
        <w:tc>
          <w:tcPr>
            <w:tcW w:w="7830" w:type="dxa"/>
            <w:tcBorders>
              <w:top w:val="single" w:sz="4" w:space="0" w:color="B8CCE4" w:themeColor="accent1" w:themeTint="66"/>
              <w:left w:val="single" w:sz="4" w:space="0" w:color="95B3D7" w:themeColor="accent1" w:themeTint="99"/>
              <w:bottom w:val="nil"/>
              <w:right w:val="single" w:sz="4" w:space="0" w:color="B8CCE4" w:themeColor="accent1" w:themeTint="66"/>
            </w:tcBorders>
          </w:tcPr>
          <w:p w14:paraId="64BA4DD2" w14:textId="77777777" w:rsidR="005D0134" w:rsidRDefault="005D0134" w:rsidP="007F046B">
            <w:pPr>
              <w:jc w:val="center"/>
              <w:rPr>
                <w:b/>
                <w:i/>
                <w:sz w:val="30"/>
                <w:szCs w:val="30"/>
              </w:rPr>
            </w:pPr>
            <w:r>
              <w:rPr>
                <w:b/>
                <w:i/>
                <w:sz w:val="30"/>
                <w:szCs w:val="30"/>
              </w:rPr>
              <w:t xml:space="preserve">  </w:t>
            </w:r>
          </w:p>
          <w:p w14:paraId="5A485072" w14:textId="77777777" w:rsidR="005D0134" w:rsidRPr="00E96167" w:rsidRDefault="005D0134" w:rsidP="007F046B">
            <w:pPr>
              <w:jc w:val="center"/>
              <w:rPr>
                <w:b/>
                <w:i/>
                <w:sz w:val="32"/>
                <w:szCs w:val="32"/>
              </w:rPr>
            </w:pPr>
            <w:r w:rsidRPr="00E96167">
              <w:rPr>
                <w:b/>
                <w:i/>
                <w:sz w:val="32"/>
                <w:szCs w:val="32"/>
              </w:rPr>
              <w:t>COMPASSION COMMUNITY CLINIC</w:t>
            </w:r>
          </w:p>
        </w:tc>
        <w:tc>
          <w:tcPr>
            <w:tcW w:w="2808" w:type="dxa"/>
            <w:vMerge w:val="restart"/>
            <w:tcBorders>
              <w:top w:val="single" w:sz="4" w:space="0" w:color="B8CCE4" w:themeColor="accent1" w:themeTint="66"/>
              <w:left w:val="single" w:sz="4" w:space="0" w:color="B8CCE4" w:themeColor="accent1" w:themeTint="66"/>
              <w:bottom w:val="nil"/>
              <w:right w:val="single" w:sz="4" w:space="0" w:color="B8CCE4" w:themeColor="accent1" w:themeTint="66"/>
            </w:tcBorders>
          </w:tcPr>
          <w:p w14:paraId="2343197B" w14:textId="77777777" w:rsidR="005D0134" w:rsidRDefault="005D0134" w:rsidP="007F046B">
            <w:pPr>
              <w:rPr>
                <w:b/>
                <w:sz w:val="16"/>
                <w:szCs w:val="16"/>
              </w:rPr>
            </w:pPr>
          </w:p>
          <w:p w14:paraId="60354505" w14:textId="77777777" w:rsidR="005D0134" w:rsidRDefault="005D0134" w:rsidP="007F046B">
            <w:pPr>
              <w:rPr>
                <w:b/>
                <w:sz w:val="16"/>
                <w:szCs w:val="16"/>
              </w:rPr>
            </w:pPr>
          </w:p>
          <w:p w14:paraId="76A5B9A3" w14:textId="14B54E44" w:rsidR="005D0134" w:rsidRPr="00E96167" w:rsidRDefault="00506397" w:rsidP="00506397">
            <w:pPr>
              <w:shd w:val="clear" w:color="auto" w:fill="00FF00"/>
              <w:rPr>
                <w:b/>
                <w:sz w:val="18"/>
                <w:szCs w:val="18"/>
              </w:rPr>
            </w:pPr>
            <w:r w:rsidRPr="00050298">
              <w:rPr>
                <w:b/>
                <w:sz w:val="18"/>
                <w:szCs w:val="18"/>
              </w:rPr>
              <w:t>Page 1 of 3</w:t>
            </w:r>
          </w:p>
          <w:p w14:paraId="4ECFA6D6" w14:textId="77777777" w:rsidR="005D0134" w:rsidRPr="00E96167" w:rsidRDefault="005D0134" w:rsidP="007F046B">
            <w:pPr>
              <w:rPr>
                <w:b/>
                <w:sz w:val="18"/>
                <w:szCs w:val="18"/>
              </w:rPr>
            </w:pPr>
            <w:r w:rsidRPr="00E96167">
              <w:rPr>
                <w:b/>
                <w:sz w:val="18"/>
                <w:szCs w:val="18"/>
              </w:rPr>
              <w:t>Supersedes Date:</w:t>
            </w:r>
            <w:r w:rsidR="00056BA3">
              <w:rPr>
                <w:b/>
                <w:sz w:val="18"/>
                <w:szCs w:val="18"/>
              </w:rPr>
              <w:t xml:space="preserve"> July 2016</w:t>
            </w:r>
          </w:p>
          <w:p w14:paraId="0F404D11" w14:textId="47AFAA37" w:rsidR="005D0134" w:rsidRPr="00E96167" w:rsidRDefault="005D0134" w:rsidP="007F046B">
            <w:pPr>
              <w:rPr>
                <w:b/>
                <w:sz w:val="18"/>
                <w:szCs w:val="18"/>
              </w:rPr>
            </w:pPr>
            <w:r>
              <w:rPr>
                <w:b/>
                <w:sz w:val="18"/>
                <w:szCs w:val="18"/>
              </w:rPr>
              <w:t xml:space="preserve">Original Date:  </w:t>
            </w:r>
          </w:p>
          <w:p w14:paraId="30D9392D" w14:textId="77777777" w:rsidR="005D0134" w:rsidRDefault="005D0134" w:rsidP="007F046B">
            <w:pPr>
              <w:rPr>
                <w:sz w:val="16"/>
                <w:szCs w:val="16"/>
              </w:rPr>
            </w:pPr>
          </w:p>
          <w:p w14:paraId="18734F70" w14:textId="77777777" w:rsidR="005D0134" w:rsidRPr="00E96167" w:rsidRDefault="005D0134" w:rsidP="007F046B">
            <w:pPr>
              <w:rPr>
                <w:b/>
                <w:sz w:val="18"/>
                <w:szCs w:val="18"/>
              </w:rPr>
            </w:pPr>
            <w:r>
              <w:rPr>
                <w:b/>
                <w:sz w:val="18"/>
                <w:szCs w:val="18"/>
              </w:rPr>
              <w:t>Policy</w:t>
            </w:r>
            <w:r w:rsidRPr="00E96167">
              <w:rPr>
                <w:b/>
                <w:sz w:val="18"/>
                <w:szCs w:val="18"/>
              </w:rPr>
              <w:t xml:space="preserve"> Section:  </w:t>
            </w:r>
            <w:r>
              <w:rPr>
                <w:b/>
                <w:sz w:val="18"/>
                <w:szCs w:val="18"/>
              </w:rPr>
              <w:t>GENERAL ADMINISTRATIVE</w:t>
            </w:r>
          </w:p>
        </w:tc>
      </w:tr>
      <w:tr w:rsidR="005D0134" w14:paraId="4F6581A2" w14:textId="77777777" w:rsidTr="007F046B">
        <w:tc>
          <w:tcPr>
            <w:tcW w:w="378" w:type="dxa"/>
            <w:vMerge/>
            <w:tcBorders>
              <w:top w:val="nil"/>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14:paraId="1B690049" w14:textId="77777777" w:rsidR="005D0134" w:rsidRPr="00B976A9" w:rsidRDefault="005D0134" w:rsidP="007F046B">
            <w:pPr>
              <w:jc w:val="center"/>
              <w:rPr>
                <w:b/>
                <w:color w:val="95B3D7" w:themeColor="accent1" w:themeTint="99"/>
                <w:sz w:val="16"/>
                <w:szCs w:val="16"/>
              </w:rPr>
            </w:pPr>
          </w:p>
        </w:tc>
        <w:tc>
          <w:tcPr>
            <w:tcW w:w="7830" w:type="dxa"/>
            <w:tcBorders>
              <w:top w:val="nil"/>
              <w:left w:val="single" w:sz="4" w:space="0" w:color="95B3D7" w:themeColor="accent1" w:themeTint="99"/>
              <w:bottom w:val="nil"/>
              <w:right w:val="single" w:sz="4" w:space="0" w:color="B8CCE4" w:themeColor="accent1" w:themeTint="66"/>
            </w:tcBorders>
          </w:tcPr>
          <w:p w14:paraId="263CA39F" w14:textId="77777777" w:rsidR="005D0134" w:rsidRPr="00E96167" w:rsidRDefault="005D0134" w:rsidP="007F046B">
            <w:pPr>
              <w:jc w:val="center"/>
              <w:rPr>
                <w:b/>
                <w:sz w:val="18"/>
                <w:szCs w:val="18"/>
              </w:rPr>
            </w:pPr>
            <w:r w:rsidRPr="00E96167">
              <w:rPr>
                <w:b/>
                <w:sz w:val="18"/>
                <w:szCs w:val="18"/>
              </w:rPr>
              <w:t>POLICIES AND PROCEDURE</w:t>
            </w:r>
          </w:p>
        </w:tc>
        <w:tc>
          <w:tcPr>
            <w:tcW w:w="2808" w:type="dxa"/>
            <w:vMerge/>
            <w:tcBorders>
              <w:top w:val="nil"/>
              <w:left w:val="single" w:sz="4" w:space="0" w:color="B8CCE4" w:themeColor="accent1" w:themeTint="66"/>
              <w:bottom w:val="nil"/>
              <w:right w:val="single" w:sz="4" w:space="0" w:color="B8CCE4" w:themeColor="accent1" w:themeTint="66"/>
            </w:tcBorders>
          </w:tcPr>
          <w:p w14:paraId="7F5DDFF4" w14:textId="77777777" w:rsidR="005D0134" w:rsidRDefault="005D0134" w:rsidP="007F046B"/>
        </w:tc>
      </w:tr>
      <w:tr w:rsidR="005D0134" w14:paraId="2D117B61" w14:textId="77777777" w:rsidTr="007F046B">
        <w:tc>
          <w:tcPr>
            <w:tcW w:w="378" w:type="dxa"/>
            <w:vMerge/>
            <w:tcBorders>
              <w:top w:val="nil"/>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14:paraId="042B1692" w14:textId="77777777" w:rsidR="005D0134" w:rsidRPr="00B976A9" w:rsidRDefault="005D0134" w:rsidP="007F046B">
            <w:pPr>
              <w:rPr>
                <w:color w:val="95B3D7" w:themeColor="accent1" w:themeTint="99"/>
              </w:rPr>
            </w:pPr>
          </w:p>
        </w:tc>
        <w:tc>
          <w:tcPr>
            <w:tcW w:w="7830" w:type="dxa"/>
            <w:tcBorders>
              <w:top w:val="nil"/>
              <w:left w:val="single" w:sz="4" w:space="0" w:color="95B3D7" w:themeColor="accent1" w:themeTint="99"/>
              <w:bottom w:val="nil"/>
              <w:right w:val="single" w:sz="4" w:space="0" w:color="B8CCE4" w:themeColor="accent1" w:themeTint="66"/>
            </w:tcBorders>
          </w:tcPr>
          <w:p w14:paraId="040D960A" w14:textId="77777777" w:rsidR="005D0134" w:rsidRDefault="005D0134" w:rsidP="007F046B"/>
        </w:tc>
        <w:tc>
          <w:tcPr>
            <w:tcW w:w="2808" w:type="dxa"/>
            <w:vMerge/>
            <w:tcBorders>
              <w:top w:val="nil"/>
              <w:left w:val="single" w:sz="4" w:space="0" w:color="B8CCE4" w:themeColor="accent1" w:themeTint="66"/>
              <w:bottom w:val="nil"/>
              <w:right w:val="single" w:sz="4" w:space="0" w:color="B8CCE4" w:themeColor="accent1" w:themeTint="66"/>
            </w:tcBorders>
          </w:tcPr>
          <w:p w14:paraId="1841BD8D" w14:textId="77777777" w:rsidR="005D0134" w:rsidRDefault="005D0134" w:rsidP="007F046B"/>
        </w:tc>
      </w:tr>
      <w:tr w:rsidR="005D0134" w14:paraId="7F94DE64" w14:textId="77777777" w:rsidTr="007F046B">
        <w:tc>
          <w:tcPr>
            <w:tcW w:w="378" w:type="dxa"/>
            <w:vMerge/>
            <w:tcBorders>
              <w:top w:val="nil"/>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14:paraId="12B6F1B6" w14:textId="77777777" w:rsidR="005D0134" w:rsidRPr="00B976A9" w:rsidRDefault="005D0134" w:rsidP="007F046B">
            <w:pPr>
              <w:jc w:val="center"/>
              <w:rPr>
                <w:b/>
                <w:color w:val="95B3D7" w:themeColor="accent1" w:themeTint="99"/>
                <w:sz w:val="24"/>
                <w:szCs w:val="24"/>
              </w:rPr>
            </w:pPr>
          </w:p>
        </w:tc>
        <w:tc>
          <w:tcPr>
            <w:tcW w:w="7830" w:type="dxa"/>
            <w:tcBorders>
              <w:top w:val="nil"/>
              <w:left w:val="single" w:sz="4" w:space="0" w:color="95B3D7" w:themeColor="accent1" w:themeTint="99"/>
              <w:bottom w:val="nil"/>
              <w:right w:val="single" w:sz="4" w:space="0" w:color="B8CCE4" w:themeColor="accent1" w:themeTint="66"/>
            </w:tcBorders>
          </w:tcPr>
          <w:p w14:paraId="0F6392CF" w14:textId="77777777" w:rsidR="005D0134" w:rsidRPr="00D65D2A" w:rsidRDefault="005D0134" w:rsidP="007F046B">
            <w:pPr>
              <w:jc w:val="center"/>
              <w:rPr>
                <w:b/>
                <w:sz w:val="26"/>
                <w:szCs w:val="26"/>
              </w:rPr>
            </w:pPr>
            <w:r>
              <w:rPr>
                <w:b/>
                <w:sz w:val="26"/>
                <w:szCs w:val="26"/>
              </w:rPr>
              <w:t>FISCAL INTERNAL CONTROLS</w:t>
            </w:r>
          </w:p>
        </w:tc>
        <w:tc>
          <w:tcPr>
            <w:tcW w:w="2808" w:type="dxa"/>
            <w:vMerge/>
            <w:tcBorders>
              <w:top w:val="nil"/>
              <w:left w:val="single" w:sz="4" w:space="0" w:color="B8CCE4" w:themeColor="accent1" w:themeTint="66"/>
              <w:bottom w:val="nil"/>
              <w:right w:val="single" w:sz="4" w:space="0" w:color="B8CCE4" w:themeColor="accent1" w:themeTint="66"/>
            </w:tcBorders>
          </w:tcPr>
          <w:p w14:paraId="7A03D1CF" w14:textId="77777777" w:rsidR="005D0134" w:rsidRPr="005C2028" w:rsidRDefault="005D0134" w:rsidP="007F046B">
            <w:pPr>
              <w:rPr>
                <w:b/>
                <w:sz w:val="16"/>
                <w:szCs w:val="16"/>
              </w:rPr>
            </w:pPr>
          </w:p>
        </w:tc>
      </w:tr>
      <w:tr w:rsidR="005D0134" w14:paraId="635B7028" w14:textId="77777777" w:rsidTr="007F046B">
        <w:tc>
          <w:tcPr>
            <w:tcW w:w="378" w:type="dxa"/>
            <w:vMerge/>
            <w:tcBorders>
              <w:top w:val="nil"/>
              <w:left w:val="single" w:sz="4" w:space="0" w:color="95B3D7" w:themeColor="accent1" w:themeTint="99"/>
              <w:bottom w:val="single" w:sz="4" w:space="0" w:color="95B3D7" w:themeColor="accent1" w:themeTint="99"/>
              <w:right w:val="single" w:sz="4" w:space="0" w:color="95B3D7" w:themeColor="accent1" w:themeTint="99"/>
            </w:tcBorders>
            <w:shd w:val="pct10" w:color="B8CCE4" w:themeColor="accent1" w:themeTint="66" w:fill="95B3D7" w:themeFill="accent1" w:themeFillTint="99"/>
          </w:tcPr>
          <w:p w14:paraId="0D24ADA0" w14:textId="77777777" w:rsidR="005D0134" w:rsidRPr="00B976A9" w:rsidRDefault="005D0134" w:rsidP="007F046B">
            <w:pPr>
              <w:rPr>
                <w:color w:val="95B3D7" w:themeColor="accent1" w:themeTint="99"/>
              </w:rPr>
            </w:pPr>
          </w:p>
        </w:tc>
        <w:tc>
          <w:tcPr>
            <w:tcW w:w="7830" w:type="dxa"/>
            <w:tcBorders>
              <w:top w:val="nil"/>
              <w:left w:val="single" w:sz="4" w:space="0" w:color="95B3D7" w:themeColor="accent1" w:themeTint="99"/>
              <w:bottom w:val="single" w:sz="4" w:space="0" w:color="B8CCE4" w:themeColor="accent1" w:themeTint="66"/>
              <w:right w:val="single" w:sz="4" w:space="0" w:color="B8CCE4" w:themeColor="accent1" w:themeTint="66"/>
            </w:tcBorders>
          </w:tcPr>
          <w:p w14:paraId="53257A03" w14:textId="77777777" w:rsidR="005D0134" w:rsidRDefault="005D0134" w:rsidP="007F046B"/>
        </w:tc>
        <w:tc>
          <w:tcPr>
            <w:tcW w:w="2808" w:type="dxa"/>
            <w:vMerge/>
            <w:tcBorders>
              <w:top w:val="nil"/>
              <w:left w:val="single" w:sz="4" w:space="0" w:color="B8CCE4" w:themeColor="accent1" w:themeTint="66"/>
              <w:bottom w:val="single" w:sz="4" w:space="0" w:color="B8CCE4" w:themeColor="accent1" w:themeTint="66"/>
              <w:right w:val="single" w:sz="4" w:space="0" w:color="B8CCE4" w:themeColor="accent1" w:themeTint="66"/>
            </w:tcBorders>
          </w:tcPr>
          <w:p w14:paraId="5FC6A958" w14:textId="77777777" w:rsidR="005D0134" w:rsidRDefault="005D0134" w:rsidP="007F046B"/>
        </w:tc>
      </w:tr>
    </w:tbl>
    <w:p w14:paraId="45EA8A8B" w14:textId="77777777" w:rsidR="005D0134" w:rsidRDefault="005D0134" w:rsidP="005D0134"/>
    <w:tbl>
      <w:tblPr>
        <w:tblStyle w:val="TableGrid"/>
        <w:tblW w:w="0" w:type="auto"/>
        <w:tblLook w:val="04A0" w:firstRow="1" w:lastRow="0" w:firstColumn="1" w:lastColumn="0" w:noHBand="0" w:noVBand="1"/>
      </w:tblPr>
      <w:tblGrid>
        <w:gridCol w:w="373"/>
        <w:gridCol w:w="10417"/>
      </w:tblGrid>
      <w:tr w:rsidR="005D0134" w14:paraId="6E7CD236" w14:textId="77777777" w:rsidTr="007F046B">
        <w:tc>
          <w:tcPr>
            <w:tcW w:w="37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B8CCE4" w:themeColor="accent1" w:themeTint="66"/>
            </w:tcBorders>
            <w:shd w:val="clear" w:color="auto" w:fill="95B3D7" w:themeFill="accent1" w:themeFillTint="99"/>
          </w:tcPr>
          <w:p w14:paraId="51D1D26F" w14:textId="77777777" w:rsidR="005D0134" w:rsidRPr="00B976A9" w:rsidRDefault="005D0134" w:rsidP="007F046B">
            <w:pPr>
              <w:rPr>
                <w:color w:val="95B3D7" w:themeColor="accent1" w:themeTint="99"/>
              </w:rPr>
            </w:pPr>
            <w:bookmarkStart w:id="0" w:name="_GoBack" w:colFirst="2" w:colLast="2"/>
            <w:r>
              <w:br w:type="page"/>
            </w:r>
          </w:p>
        </w:tc>
        <w:tc>
          <w:tcPr>
            <w:tcW w:w="106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982C14A" w14:textId="77777777" w:rsidR="005D0134" w:rsidRPr="00056BA3" w:rsidRDefault="005D0134" w:rsidP="007F046B">
            <w:pPr>
              <w:ind w:left="162"/>
              <w:rPr>
                <w:rFonts w:cs="Arial"/>
                <w:i/>
                <w:sz w:val="18"/>
                <w:szCs w:val="18"/>
              </w:rPr>
            </w:pPr>
          </w:p>
          <w:p w14:paraId="283E3356" w14:textId="77777777" w:rsidR="005D0134" w:rsidRPr="00833629" w:rsidRDefault="005D0134" w:rsidP="007F046B">
            <w:pPr>
              <w:pStyle w:val="NoSpacing"/>
              <w:rPr>
                <w:b/>
                <w:sz w:val="18"/>
                <w:szCs w:val="18"/>
              </w:rPr>
            </w:pPr>
            <w:r w:rsidRPr="00833629">
              <w:rPr>
                <w:b/>
                <w:szCs w:val="24"/>
              </w:rPr>
              <w:t>POLICY:</w:t>
            </w:r>
          </w:p>
          <w:p w14:paraId="75444307" w14:textId="77777777" w:rsidR="0028344A" w:rsidRDefault="005D0134" w:rsidP="007F046B">
            <w:pPr>
              <w:rPr>
                <w:sz w:val="20"/>
              </w:rPr>
            </w:pPr>
            <w:r w:rsidRPr="00AF2F65">
              <w:rPr>
                <w:sz w:val="20"/>
              </w:rPr>
              <w:t>The following are the fiscal policies and procedures that govern the operations of Compassion Community Clinic</w:t>
            </w:r>
          </w:p>
          <w:p w14:paraId="56CC6D1C" w14:textId="77777777" w:rsidR="005D0134" w:rsidRPr="00AF2F65" w:rsidRDefault="005D0134" w:rsidP="007F046B">
            <w:pPr>
              <w:rPr>
                <w:sz w:val="20"/>
              </w:rPr>
            </w:pPr>
            <w:r w:rsidRPr="00AF2F65">
              <w:rPr>
                <w:sz w:val="20"/>
              </w:rPr>
              <w:t>(CC Clinic).  All employees, consultants, Board Members, Officers and other personnel working under the auspices of CC Clinic are expected to operate under these policies and procedures.</w:t>
            </w:r>
          </w:p>
          <w:p w14:paraId="7B82B7E4" w14:textId="77777777" w:rsidR="005D0134" w:rsidRPr="00AF2F65" w:rsidRDefault="005D0134" w:rsidP="007F046B">
            <w:pPr>
              <w:pStyle w:val="NoSpacing"/>
              <w:rPr>
                <w:sz w:val="16"/>
                <w:szCs w:val="18"/>
              </w:rPr>
            </w:pPr>
          </w:p>
          <w:p w14:paraId="60D5952B" w14:textId="77777777" w:rsidR="005D0134" w:rsidRPr="004C6AB5" w:rsidRDefault="005D0134" w:rsidP="007F046B">
            <w:pPr>
              <w:pStyle w:val="NoSpacing"/>
              <w:rPr>
                <w:b/>
                <w:sz w:val="16"/>
                <w:szCs w:val="18"/>
              </w:rPr>
            </w:pPr>
            <w:r w:rsidRPr="004C6AB5">
              <w:rPr>
                <w:b/>
                <w:szCs w:val="24"/>
              </w:rPr>
              <w:t>PURPOSE:</w:t>
            </w:r>
          </w:p>
          <w:p w14:paraId="7CC88FD3" w14:textId="77777777" w:rsidR="005D0134" w:rsidRPr="00AF2F65" w:rsidRDefault="005D0134" w:rsidP="007F046B">
            <w:pPr>
              <w:rPr>
                <w:sz w:val="20"/>
              </w:rPr>
            </w:pPr>
            <w:r w:rsidRPr="00AF2F65">
              <w:rPr>
                <w:sz w:val="20"/>
              </w:rPr>
              <w:t xml:space="preserve">These policies convey good accounting practice and a positive and confident message about CC Clinic’s handling of funds from all sources, including private and corporate donations and grants.  CC Clinic is a small organization and must carefully control expenditures.  Expenses must be actual, reasonable and allowable.  The following internal controls will apply, as appropriate:  </w:t>
            </w:r>
          </w:p>
          <w:p w14:paraId="35427F80" w14:textId="77777777" w:rsidR="005D0134" w:rsidRPr="00AF2F65" w:rsidRDefault="005D0134" w:rsidP="007F046B">
            <w:pPr>
              <w:rPr>
                <w:sz w:val="20"/>
              </w:rPr>
            </w:pPr>
          </w:p>
          <w:p w14:paraId="53221010" w14:textId="77777777" w:rsidR="005D0134" w:rsidRPr="00A92469" w:rsidRDefault="005D0134" w:rsidP="005D0134">
            <w:pPr>
              <w:numPr>
                <w:ilvl w:val="0"/>
                <w:numId w:val="1"/>
              </w:numPr>
              <w:spacing w:after="240"/>
              <w:ind w:left="1440" w:hanging="720"/>
              <w:rPr>
                <w:sz w:val="20"/>
              </w:rPr>
            </w:pPr>
            <w:r w:rsidRPr="00A92469">
              <w:rPr>
                <w:sz w:val="20"/>
              </w:rPr>
              <w:t>The Chairman reviews every invoice/payable for accuracy</w:t>
            </w:r>
            <w:r w:rsidR="00AF2F65" w:rsidRPr="00A92469">
              <w:rPr>
                <w:sz w:val="20"/>
              </w:rPr>
              <w:t>.</w:t>
            </w:r>
            <w:r w:rsidRPr="00A92469">
              <w:rPr>
                <w:sz w:val="20"/>
              </w:rPr>
              <w:t xml:space="preserve"> </w:t>
            </w:r>
            <w:r w:rsidR="00AF2F65" w:rsidRPr="00A92469">
              <w:rPr>
                <w:sz w:val="20"/>
              </w:rPr>
              <w:t>A</w:t>
            </w:r>
            <w:r w:rsidRPr="00A92469">
              <w:rPr>
                <w:sz w:val="20"/>
              </w:rPr>
              <w:t>utomatic payme</w:t>
            </w:r>
            <w:r w:rsidR="00AF2F65" w:rsidRPr="00A92469">
              <w:rPr>
                <w:sz w:val="20"/>
              </w:rPr>
              <w:t>nts for most recurring expenses will be set up.</w:t>
            </w:r>
            <w:r w:rsidRPr="00A92469">
              <w:rPr>
                <w:sz w:val="20"/>
              </w:rPr>
              <w:t xml:space="preserve"> Those that remain to be paid shall be paid by the Chairman</w:t>
            </w:r>
            <w:r w:rsidR="00AF2F65" w:rsidRPr="00A92469">
              <w:rPr>
                <w:sz w:val="20"/>
              </w:rPr>
              <w:t xml:space="preserve">, Vice Chairman, or </w:t>
            </w:r>
            <w:r w:rsidRPr="00A92469">
              <w:rPr>
                <w:sz w:val="20"/>
              </w:rPr>
              <w:t xml:space="preserve">Treasurer.  </w:t>
            </w:r>
          </w:p>
          <w:p w14:paraId="5CCF295A" w14:textId="77777777" w:rsidR="005D0134" w:rsidRPr="00AF2F65" w:rsidRDefault="00A92469" w:rsidP="005D0134">
            <w:pPr>
              <w:numPr>
                <w:ilvl w:val="0"/>
                <w:numId w:val="1"/>
              </w:numPr>
              <w:spacing w:after="240"/>
              <w:ind w:left="1440" w:hanging="720"/>
              <w:rPr>
                <w:sz w:val="20"/>
              </w:rPr>
            </w:pPr>
            <w:r>
              <w:rPr>
                <w:sz w:val="20"/>
              </w:rPr>
              <w:t>The Board of Directors must</w:t>
            </w:r>
            <w:r w:rsidR="005D0134" w:rsidRPr="00AF2F65">
              <w:rPr>
                <w:sz w:val="20"/>
              </w:rPr>
              <w:t xml:space="preserve"> approve expenses to be reimbursed to the Executive Director. </w:t>
            </w:r>
          </w:p>
          <w:p w14:paraId="12723EFC" w14:textId="77777777" w:rsidR="005D0134" w:rsidRPr="00AF2F65" w:rsidRDefault="005D0134" w:rsidP="007F046B">
            <w:pPr>
              <w:rPr>
                <w:sz w:val="20"/>
              </w:rPr>
            </w:pPr>
            <w:r w:rsidRPr="00AF2F65">
              <w:rPr>
                <w:sz w:val="20"/>
              </w:rPr>
              <w:t>The Board shall review and adopt, as appropriate, any revisions to these procedures.</w:t>
            </w:r>
          </w:p>
          <w:p w14:paraId="43E7027E" w14:textId="77777777" w:rsidR="005D0134" w:rsidRPr="00AF2F65" w:rsidRDefault="005D0134" w:rsidP="007F046B">
            <w:pPr>
              <w:pStyle w:val="NoSpacing"/>
              <w:rPr>
                <w:sz w:val="16"/>
                <w:szCs w:val="18"/>
              </w:rPr>
            </w:pPr>
          </w:p>
          <w:p w14:paraId="1057776A" w14:textId="77777777" w:rsidR="005D0134" w:rsidRPr="004C6AB5" w:rsidRDefault="005D0134" w:rsidP="007F046B">
            <w:pPr>
              <w:pStyle w:val="NoSpacing"/>
              <w:rPr>
                <w:b/>
                <w:szCs w:val="24"/>
              </w:rPr>
            </w:pPr>
            <w:r w:rsidRPr="004C6AB5">
              <w:rPr>
                <w:b/>
                <w:szCs w:val="24"/>
              </w:rPr>
              <w:t xml:space="preserve">PROCEDURES:  </w:t>
            </w:r>
          </w:p>
          <w:p w14:paraId="068CD69B" w14:textId="77777777" w:rsidR="005D0134" w:rsidRPr="00AF2F65" w:rsidRDefault="005D0134" w:rsidP="007F046B">
            <w:pPr>
              <w:pStyle w:val="NoSpacing"/>
              <w:rPr>
                <w:b/>
                <w:i/>
                <w:sz w:val="16"/>
                <w:szCs w:val="18"/>
              </w:rPr>
            </w:pPr>
          </w:p>
          <w:p w14:paraId="6411BB84" w14:textId="77777777" w:rsidR="00A92469" w:rsidRDefault="005D0134" w:rsidP="007F046B">
            <w:pPr>
              <w:numPr>
                <w:ilvl w:val="0"/>
                <w:numId w:val="2"/>
              </w:numPr>
              <w:spacing w:after="240"/>
              <w:rPr>
                <w:sz w:val="20"/>
              </w:rPr>
            </w:pPr>
            <w:r w:rsidRPr="00A92469">
              <w:rPr>
                <w:b/>
                <w:sz w:val="20"/>
              </w:rPr>
              <w:t>Grant Awards</w:t>
            </w:r>
            <w:r w:rsidR="00784B9A" w:rsidRPr="00A92469">
              <w:rPr>
                <w:b/>
                <w:sz w:val="20"/>
              </w:rPr>
              <w:br/>
            </w:r>
            <w:r w:rsidRPr="00A92469">
              <w:rPr>
                <w:sz w:val="20"/>
              </w:rPr>
              <w:t xml:space="preserve">CC Clinic will conform to the general accounting principles in all matters that relate to the expenditure of funds under any foundation or government grant.  All individual grant awards will be accounted for separately, to prevent commingling of grant awards.  All income and expenses will be tracked to a specific grant award to ensure accuracy of required reporting.  </w:t>
            </w:r>
          </w:p>
          <w:p w14:paraId="1753B489" w14:textId="77777777" w:rsidR="005D0134" w:rsidRPr="00A92469" w:rsidRDefault="005D0134" w:rsidP="007F046B">
            <w:pPr>
              <w:numPr>
                <w:ilvl w:val="0"/>
                <w:numId w:val="2"/>
              </w:numPr>
              <w:spacing w:after="240"/>
              <w:rPr>
                <w:sz w:val="20"/>
              </w:rPr>
            </w:pPr>
            <w:r w:rsidRPr="00A92469">
              <w:rPr>
                <w:b/>
                <w:sz w:val="20"/>
              </w:rPr>
              <w:t xml:space="preserve">Checking </w:t>
            </w:r>
            <w:r w:rsidR="00056BA3" w:rsidRPr="00A92469">
              <w:rPr>
                <w:b/>
                <w:sz w:val="20"/>
              </w:rPr>
              <w:t>Accounts</w:t>
            </w:r>
            <w:r w:rsidR="00784B9A" w:rsidRPr="00A92469">
              <w:rPr>
                <w:b/>
                <w:i/>
                <w:sz w:val="20"/>
              </w:rPr>
              <w:br/>
            </w:r>
            <w:r w:rsidRPr="00A92469">
              <w:rPr>
                <w:sz w:val="20"/>
              </w:rPr>
              <w:t xml:space="preserve">CC Clinic maintains one checking account for the deposit of </w:t>
            </w:r>
            <w:r w:rsidR="00056BA3" w:rsidRPr="00A92469">
              <w:rPr>
                <w:sz w:val="20"/>
              </w:rPr>
              <w:t>operating (non-restricted) income and disbursement of expenses and one checking account for the deposit of all restricted funds and disbursement of approved expenses.</w:t>
            </w:r>
            <w:r w:rsidRPr="00A92469">
              <w:rPr>
                <w:sz w:val="20"/>
              </w:rPr>
              <w:t xml:space="preserve">  </w:t>
            </w:r>
          </w:p>
          <w:p w14:paraId="0141AFBC" w14:textId="77777777" w:rsidR="00056BA3" w:rsidRPr="004C6AB5" w:rsidRDefault="00056BA3" w:rsidP="00056BA3">
            <w:pPr>
              <w:pStyle w:val="ListParagraph"/>
              <w:numPr>
                <w:ilvl w:val="0"/>
                <w:numId w:val="2"/>
              </w:numPr>
              <w:rPr>
                <w:sz w:val="20"/>
              </w:rPr>
            </w:pPr>
            <w:r w:rsidRPr="004C6AB5">
              <w:rPr>
                <w:b/>
                <w:sz w:val="20"/>
              </w:rPr>
              <w:t>Money Market Account</w:t>
            </w:r>
          </w:p>
          <w:p w14:paraId="4FFF691B" w14:textId="77777777" w:rsidR="00056BA3" w:rsidRPr="00AF2F65" w:rsidRDefault="00056BA3" w:rsidP="00056BA3">
            <w:pPr>
              <w:pStyle w:val="ListParagraph"/>
              <w:ind w:left="360"/>
              <w:rPr>
                <w:sz w:val="20"/>
              </w:rPr>
            </w:pPr>
            <w:r w:rsidRPr="00AF2F65">
              <w:rPr>
                <w:sz w:val="20"/>
              </w:rPr>
              <w:t xml:space="preserve">CC Clinic maintains one Money Market account which functions as an operating reserve and strives to maintain a </w:t>
            </w:r>
            <w:r w:rsidRPr="00D51333">
              <w:rPr>
                <w:sz w:val="20"/>
              </w:rPr>
              <w:t xml:space="preserve">minimum </w:t>
            </w:r>
            <w:r w:rsidR="00AF2F65" w:rsidRPr="00D51333">
              <w:rPr>
                <w:sz w:val="20"/>
              </w:rPr>
              <w:t>balance to cover</w:t>
            </w:r>
            <w:r w:rsidRPr="00AF2F65">
              <w:rPr>
                <w:sz w:val="20"/>
              </w:rPr>
              <w:t xml:space="preserve"> three months of CC Clinic operating expenses.</w:t>
            </w:r>
          </w:p>
          <w:p w14:paraId="1470184A" w14:textId="77777777" w:rsidR="00056BA3" w:rsidRPr="00AF2F65" w:rsidRDefault="00056BA3" w:rsidP="00056BA3">
            <w:pPr>
              <w:pStyle w:val="ListParagraph"/>
              <w:ind w:left="360"/>
              <w:rPr>
                <w:i/>
                <w:sz w:val="20"/>
              </w:rPr>
            </w:pPr>
          </w:p>
          <w:p w14:paraId="2B6087E8" w14:textId="77777777" w:rsidR="005D0134" w:rsidRPr="00AF2F65" w:rsidRDefault="005D0134" w:rsidP="00056BA3">
            <w:pPr>
              <w:pStyle w:val="ListParagraph"/>
              <w:ind w:left="360"/>
              <w:rPr>
                <w:sz w:val="20"/>
              </w:rPr>
            </w:pPr>
            <w:r w:rsidRPr="00AF2F65">
              <w:rPr>
                <w:sz w:val="20"/>
              </w:rPr>
              <w:t>The Chairman, Vice Chairman, and Treasurer of CC Clinic shall have check-</w:t>
            </w:r>
            <w:r w:rsidR="00056BA3" w:rsidRPr="00AF2F65">
              <w:rPr>
                <w:sz w:val="20"/>
              </w:rPr>
              <w:t>signing authority.</w:t>
            </w:r>
          </w:p>
          <w:p w14:paraId="314A8B86" w14:textId="77777777" w:rsidR="005D0134" w:rsidRPr="00AF2F65" w:rsidRDefault="005D0134" w:rsidP="007F046B">
            <w:pPr>
              <w:ind w:left="360"/>
              <w:rPr>
                <w:i/>
                <w:sz w:val="20"/>
              </w:rPr>
            </w:pPr>
          </w:p>
          <w:p w14:paraId="13D76F05" w14:textId="77777777" w:rsidR="005D0134" w:rsidRPr="00AF2F65" w:rsidRDefault="005D0134" w:rsidP="007F046B">
            <w:pPr>
              <w:ind w:left="360"/>
              <w:rPr>
                <w:sz w:val="20"/>
              </w:rPr>
            </w:pPr>
            <w:r w:rsidRPr="00AF2F65">
              <w:rPr>
                <w:sz w:val="20"/>
              </w:rPr>
              <w:t xml:space="preserve">No individual shall have authority to </w:t>
            </w:r>
            <w:r w:rsidR="004C6AB5">
              <w:rPr>
                <w:sz w:val="20"/>
              </w:rPr>
              <w:t>sign a check written to him/her-self</w:t>
            </w:r>
            <w:r w:rsidRPr="00AF2F65">
              <w:rPr>
                <w:sz w:val="20"/>
              </w:rPr>
              <w:t>.</w:t>
            </w:r>
          </w:p>
          <w:p w14:paraId="4ACAD667" w14:textId="77777777" w:rsidR="005D0134" w:rsidRPr="00AF2F65" w:rsidRDefault="005D0134" w:rsidP="007F046B">
            <w:pPr>
              <w:ind w:left="360"/>
              <w:rPr>
                <w:sz w:val="20"/>
              </w:rPr>
            </w:pPr>
          </w:p>
          <w:p w14:paraId="6290011C" w14:textId="77777777" w:rsidR="005D0134" w:rsidRPr="00AF2F65" w:rsidRDefault="005D0134" w:rsidP="007F046B">
            <w:pPr>
              <w:ind w:left="360"/>
              <w:rPr>
                <w:sz w:val="20"/>
              </w:rPr>
            </w:pPr>
            <w:r w:rsidRPr="00AF2F65">
              <w:rPr>
                <w:sz w:val="20"/>
              </w:rPr>
              <w:t xml:space="preserve">The Treasurer shall review and reconcile CC Clinic’s bank accounts on a monthly basis </w:t>
            </w:r>
            <w:r w:rsidR="002A42A0" w:rsidRPr="00AF2F65">
              <w:rPr>
                <w:sz w:val="20"/>
              </w:rPr>
              <w:t>before the regular monthly Board meeting.</w:t>
            </w:r>
            <w:r w:rsidRPr="00AF2F65">
              <w:rPr>
                <w:sz w:val="20"/>
              </w:rPr>
              <w:t xml:space="preserve">  </w:t>
            </w:r>
          </w:p>
          <w:p w14:paraId="49878B41" w14:textId="77777777" w:rsidR="00784B9A" w:rsidRPr="00AF2F65" w:rsidRDefault="00784B9A" w:rsidP="007F046B">
            <w:pPr>
              <w:ind w:left="360"/>
              <w:rPr>
                <w:sz w:val="20"/>
              </w:rPr>
            </w:pPr>
          </w:p>
          <w:p w14:paraId="6FF60EA8" w14:textId="77777777" w:rsidR="005D0134" w:rsidRPr="00AF2F65" w:rsidRDefault="005D0134" w:rsidP="007F046B">
            <w:pPr>
              <w:ind w:left="360"/>
              <w:rPr>
                <w:sz w:val="20"/>
              </w:rPr>
            </w:pPr>
          </w:p>
          <w:p w14:paraId="4D9D3F43" w14:textId="77777777" w:rsidR="004E2DBD" w:rsidRPr="00AF2F65" w:rsidRDefault="005D0134" w:rsidP="007F046B">
            <w:pPr>
              <w:numPr>
                <w:ilvl w:val="0"/>
                <w:numId w:val="2"/>
              </w:numPr>
              <w:spacing w:after="240"/>
              <w:rPr>
                <w:sz w:val="20"/>
              </w:rPr>
            </w:pPr>
            <w:r w:rsidRPr="004C6AB5">
              <w:rPr>
                <w:b/>
                <w:sz w:val="20"/>
              </w:rPr>
              <w:t>Bookkeeping System</w:t>
            </w:r>
            <w:r w:rsidR="00784B9A" w:rsidRPr="00AF2F65">
              <w:rPr>
                <w:b/>
                <w:i/>
                <w:sz w:val="20"/>
              </w:rPr>
              <w:br/>
            </w:r>
            <w:r w:rsidR="00784B9A" w:rsidRPr="00AF2F65">
              <w:rPr>
                <w:b/>
                <w:i/>
                <w:sz w:val="20"/>
              </w:rPr>
              <w:br/>
            </w:r>
            <w:r w:rsidR="002A42A0" w:rsidRPr="00AF2F65">
              <w:rPr>
                <w:sz w:val="20"/>
              </w:rPr>
              <w:t>Accounting</w:t>
            </w:r>
            <w:r w:rsidRPr="00AF2F65">
              <w:rPr>
                <w:sz w:val="20"/>
              </w:rPr>
              <w:t xml:space="preserve"> records are maintained with clear separation of activity into individual grant awards and g</w:t>
            </w:r>
            <w:r w:rsidR="002A42A0" w:rsidRPr="00AF2F65">
              <w:rPr>
                <w:sz w:val="20"/>
              </w:rPr>
              <w:t>eneral fund</w:t>
            </w:r>
            <w:r w:rsidRPr="00AF2F65">
              <w:rPr>
                <w:sz w:val="20"/>
              </w:rPr>
              <w:t xml:space="preserve">s.  </w:t>
            </w:r>
          </w:p>
          <w:p w14:paraId="2490CD7A" w14:textId="77777777" w:rsidR="00AF2F65" w:rsidRDefault="00A92469" w:rsidP="007F046B">
            <w:pPr>
              <w:ind w:left="360"/>
              <w:rPr>
                <w:sz w:val="20"/>
              </w:rPr>
            </w:pPr>
            <w:r>
              <w:rPr>
                <w:sz w:val="20"/>
              </w:rPr>
              <w:t>The</w:t>
            </w:r>
            <w:r w:rsidR="005D0134" w:rsidRPr="00AF2F65">
              <w:rPr>
                <w:sz w:val="20"/>
              </w:rPr>
              <w:t xml:space="preserve"> bookkeeper </w:t>
            </w:r>
            <w:r w:rsidR="002A42A0" w:rsidRPr="00AF2F65">
              <w:rPr>
                <w:sz w:val="20"/>
              </w:rPr>
              <w:t xml:space="preserve">or Treasurer </w:t>
            </w:r>
            <w:r w:rsidR="005D0134" w:rsidRPr="00AF2F65">
              <w:rPr>
                <w:sz w:val="20"/>
              </w:rPr>
              <w:t xml:space="preserve">will enter </w:t>
            </w:r>
            <w:r w:rsidR="002A42A0" w:rsidRPr="00AF2F65">
              <w:rPr>
                <w:sz w:val="20"/>
              </w:rPr>
              <w:t xml:space="preserve">revenue deposits and </w:t>
            </w:r>
            <w:r w:rsidR="005D0134" w:rsidRPr="00AF2F65">
              <w:rPr>
                <w:sz w:val="20"/>
              </w:rPr>
              <w:t>expense invoices</w:t>
            </w:r>
            <w:r w:rsidR="002A42A0" w:rsidRPr="00AF2F65">
              <w:rPr>
                <w:sz w:val="20"/>
              </w:rPr>
              <w:t>.</w:t>
            </w:r>
          </w:p>
          <w:p w14:paraId="62277685" w14:textId="77777777" w:rsidR="004E2DBD" w:rsidRPr="00AF2F65" w:rsidRDefault="00784B9A" w:rsidP="007F046B">
            <w:pPr>
              <w:ind w:left="360"/>
              <w:rPr>
                <w:sz w:val="20"/>
              </w:rPr>
            </w:pPr>
            <w:r w:rsidRPr="00AF2F65">
              <w:rPr>
                <w:sz w:val="20"/>
              </w:rPr>
              <w:lastRenderedPageBreak/>
              <w:br/>
            </w:r>
          </w:p>
          <w:p w14:paraId="1EFAA4CF" w14:textId="77777777" w:rsidR="00A92469" w:rsidRDefault="00A92469" w:rsidP="007F046B">
            <w:pPr>
              <w:ind w:left="360"/>
              <w:rPr>
                <w:sz w:val="20"/>
              </w:rPr>
            </w:pPr>
          </w:p>
          <w:p w14:paraId="10916089" w14:textId="77777777" w:rsidR="00A92469" w:rsidRDefault="00A92469" w:rsidP="007F046B">
            <w:pPr>
              <w:ind w:left="360"/>
              <w:rPr>
                <w:sz w:val="20"/>
              </w:rPr>
            </w:pPr>
          </w:p>
          <w:p w14:paraId="34311840" w14:textId="77777777" w:rsidR="005D0134" w:rsidRPr="00AF2F65" w:rsidRDefault="005D0134" w:rsidP="007F046B">
            <w:pPr>
              <w:ind w:left="360"/>
              <w:rPr>
                <w:sz w:val="20"/>
              </w:rPr>
            </w:pPr>
            <w:r w:rsidRPr="00AF2F65">
              <w:rPr>
                <w:sz w:val="20"/>
              </w:rPr>
              <w:t xml:space="preserve">The Treasurer is responsible for </w:t>
            </w:r>
            <w:r w:rsidR="002A42A0" w:rsidRPr="00AF2F65">
              <w:rPr>
                <w:sz w:val="20"/>
              </w:rPr>
              <w:t xml:space="preserve">entering the budget and general journal entries, </w:t>
            </w:r>
            <w:r w:rsidRPr="00AF2F65">
              <w:rPr>
                <w:sz w:val="20"/>
              </w:rPr>
              <w:t xml:space="preserve">ensuring </w:t>
            </w:r>
            <w:r w:rsidR="002A42A0" w:rsidRPr="00AF2F65">
              <w:rPr>
                <w:sz w:val="20"/>
              </w:rPr>
              <w:t>the accounting system is</w:t>
            </w:r>
            <w:r w:rsidRPr="00AF2F65">
              <w:rPr>
                <w:sz w:val="20"/>
              </w:rPr>
              <w:t xml:space="preserve"> maintained accurately and providing the full Board with financial reports</w:t>
            </w:r>
            <w:r w:rsidR="002A42A0" w:rsidRPr="00AF2F65">
              <w:rPr>
                <w:sz w:val="20"/>
              </w:rPr>
              <w:t>, including a budget versus actual report,</w:t>
            </w:r>
            <w:r w:rsidRPr="00AF2F65">
              <w:rPr>
                <w:sz w:val="20"/>
              </w:rPr>
              <w:t xml:space="preserve"> on a monthly basis</w:t>
            </w:r>
            <w:r w:rsidR="002A42A0" w:rsidRPr="00AF2F65">
              <w:rPr>
                <w:sz w:val="20"/>
              </w:rPr>
              <w:t xml:space="preserve"> before the monthly Board meeting.</w:t>
            </w:r>
          </w:p>
          <w:p w14:paraId="5A7C16BB" w14:textId="77777777" w:rsidR="005D0134" w:rsidRPr="00AF2F65" w:rsidRDefault="005D0134" w:rsidP="007F046B">
            <w:pPr>
              <w:ind w:left="360"/>
              <w:rPr>
                <w:sz w:val="20"/>
              </w:rPr>
            </w:pPr>
          </w:p>
          <w:p w14:paraId="6580E8B6" w14:textId="77777777" w:rsidR="002A42A0" w:rsidRPr="00AF2F65" w:rsidRDefault="002A42A0" w:rsidP="007F046B">
            <w:pPr>
              <w:numPr>
                <w:ilvl w:val="0"/>
                <w:numId w:val="2"/>
              </w:numPr>
              <w:spacing w:after="240"/>
              <w:rPr>
                <w:sz w:val="20"/>
              </w:rPr>
            </w:pPr>
            <w:r w:rsidRPr="004C6AB5">
              <w:rPr>
                <w:b/>
                <w:sz w:val="20"/>
              </w:rPr>
              <w:t>Accounting and Government Reporting</w:t>
            </w:r>
            <w:r w:rsidR="005D0134" w:rsidRPr="004C6AB5">
              <w:rPr>
                <w:b/>
                <w:sz w:val="20"/>
              </w:rPr>
              <w:t xml:space="preserve"> Duties</w:t>
            </w:r>
            <w:r w:rsidR="00784B9A" w:rsidRPr="004C6AB5">
              <w:rPr>
                <w:b/>
                <w:sz w:val="20"/>
              </w:rPr>
              <w:br/>
            </w:r>
            <w:r w:rsidRPr="00AF2F65">
              <w:rPr>
                <w:sz w:val="20"/>
              </w:rPr>
              <w:t>The Treasurer and the Chairman shall be responsible for preparation and submittal of the annual IRS Form 990.</w:t>
            </w:r>
          </w:p>
          <w:p w14:paraId="1D6C73B9" w14:textId="77777777" w:rsidR="002A42A0" w:rsidRPr="00AF2F65" w:rsidRDefault="002A42A0" w:rsidP="007F046B">
            <w:pPr>
              <w:ind w:left="360"/>
              <w:rPr>
                <w:sz w:val="20"/>
              </w:rPr>
            </w:pPr>
            <w:r w:rsidRPr="00AF2F65">
              <w:rPr>
                <w:sz w:val="20"/>
              </w:rPr>
              <w:t>The Treasurer shall be responsible for the electronic deposit of payroll taxes in accordance with IRS Circular E, using the IRS EFTPS portal.</w:t>
            </w:r>
          </w:p>
          <w:p w14:paraId="64A03F5F" w14:textId="77777777" w:rsidR="002A42A0" w:rsidRPr="00AF2F65" w:rsidRDefault="002A42A0" w:rsidP="007F046B">
            <w:pPr>
              <w:ind w:left="360"/>
              <w:rPr>
                <w:sz w:val="20"/>
              </w:rPr>
            </w:pPr>
          </w:p>
          <w:p w14:paraId="72ABFE12" w14:textId="77777777" w:rsidR="002A42A0" w:rsidRPr="00AF2F65" w:rsidRDefault="002A42A0" w:rsidP="007F046B">
            <w:pPr>
              <w:ind w:left="360"/>
              <w:rPr>
                <w:sz w:val="20"/>
              </w:rPr>
            </w:pPr>
            <w:r w:rsidRPr="00AF2F65">
              <w:rPr>
                <w:sz w:val="20"/>
              </w:rPr>
              <w:t>The Treasurer or approved accounting volunteer shall prepare the quarterly payroll reporting and annual reconciliation and submit them to the IRS.</w:t>
            </w:r>
          </w:p>
          <w:p w14:paraId="4B3EDB38" w14:textId="77777777" w:rsidR="002A42A0" w:rsidRPr="00AF2F65" w:rsidRDefault="002A42A0" w:rsidP="007F046B">
            <w:pPr>
              <w:ind w:left="360"/>
              <w:rPr>
                <w:sz w:val="20"/>
              </w:rPr>
            </w:pPr>
          </w:p>
          <w:p w14:paraId="456CD5B9" w14:textId="77777777" w:rsidR="005D0134" w:rsidRPr="00AF2F65" w:rsidRDefault="00A92469" w:rsidP="002A42A0">
            <w:pPr>
              <w:ind w:left="360"/>
              <w:rPr>
                <w:sz w:val="20"/>
              </w:rPr>
            </w:pPr>
            <w:r>
              <w:rPr>
                <w:sz w:val="20"/>
              </w:rPr>
              <w:t>Financial Reviews or audits shall be arranged for by t</w:t>
            </w:r>
            <w:r w:rsidR="002A42A0" w:rsidRPr="00AF2F65">
              <w:rPr>
                <w:sz w:val="20"/>
              </w:rPr>
              <w:t>he Board of Directors</w:t>
            </w:r>
            <w:r>
              <w:rPr>
                <w:sz w:val="20"/>
              </w:rPr>
              <w:t>.</w:t>
            </w:r>
          </w:p>
          <w:p w14:paraId="7B500700" w14:textId="77777777" w:rsidR="005D0134" w:rsidRPr="00AF2F65" w:rsidRDefault="005D0134" w:rsidP="007F046B">
            <w:pPr>
              <w:ind w:left="1224"/>
              <w:rPr>
                <w:sz w:val="20"/>
              </w:rPr>
            </w:pPr>
          </w:p>
          <w:p w14:paraId="48298150" w14:textId="77777777" w:rsidR="005D0134" w:rsidRPr="00AF2F65" w:rsidRDefault="00970272" w:rsidP="007F046B">
            <w:pPr>
              <w:numPr>
                <w:ilvl w:val="0"/>
                <w:numId w:val="2"/>
              </w:numPr>
              <w:spacing w:after="240"/>
              <w:rPr>
                <w:sz w:val="20"/>
              </w:rPr>
            </w:pPr>
            <w:r w:rsidRPr="004C6AB5">
              <w:rPr>
                <w:b/>
                <w:sz w:val="20"/>
              </w:rPr>
              <w:t>Revenue (</w:t>
            </w:r>
            <w:r w:rsidR="005D0134" w:rsidRPr="004C6AB5">
              <w:rPr>
                <w:b/>
                <w:sz w:val="20"/>
              </w:rPr>
              <w:t>Income</w:t>
            </w:r>
            <w:r w:rsidRPr="004C6AB5">
              <w:rPr>
                <w:b/>
                <w:sz w:val="20"/>
              </w:rPr>
              <w:t>)</w:t>
            </w:r>
            <w:r w:rsidR="005D0134" w:rsidRPr="004C6AB5">
              <w:rPr>
                <w:b/>
                <w:sz w:val="20"/>
              </w:rPr>
              <w:t xml:space="preserve"> Procedures</w:t>
            </w:r>
            <w:r w:rsidR="00784B9A" w:rsidRPr="00AF2F65">
              <w:rPr>
                <w:b/>
                <w:i/>
                <w:sz w:val="20"/>
              </w:rPr>
              <w:br/>
            </w:r>
            <w:r w:rsidR="005D0134" w:rsidRPr="00AF2F65">
              <w:rPr>
                <w:sz w:val="20"/>
              </w:rPr>
              <w:t>The following procedures shall be used for receiving, posting, and depositing income.</w:t>
            </w:r>
          </w:p>
          <w:p w14:paraId="7B52ACB5" w14:textId="77777777" w:rsidR="005D0134" w:rsidRPr="00AF2F65" w:rsidRDefault="005D0134" w:rsidP="007F046B">
            <w:pPr>
              <w:numPr>
                <w:ilvl w:val="0"/>
                <w:numId w:val="4"/>
              </w:numPr>
              <w:spacing w:after="240"/>
              <w:rPr>
                <w:sz w:val="20"/>
              </w:rPr>
            </w:pPr>
            <w:r w:rsidRPr="00AF2F65">
              <w:rPr>
                <w:sz w:val="20"/>
              </w:rPr>
              <w:t>Checks and Cash</w:t>
            </w:r>
            <w:r w:rsidR="00784B9A" w:rsidRPr="00AF2F65">
              <w:rPr>
                <w:sz w:val="20"/>
              </w:rPr>
              <w:br/>
            </w:r>
            <w:r w:rsidRPr="00AF2F65">
              <w:rPr>
                <w:sz w:val="20"/>
              </w:rPr>
              <w:t xml:space="preserve">All checks shall be endorsed “for deposit only.” </w:t>
            </w:r>
            <w:r w:rsidR="00970272" w:rsidRPr="00AF2F65">
              <w:rPr>
                <w:sz w:val="20"/>
              </w:rPr>
              <w:t xml:space="preserve"> The Chairman</w:t>
            </w:r>
            <w:r w:rsidRPr="00AF2F65">
              <w:rPr>
                <w:sz w:val="20"/>
              </w:rPr>
              <w:t xml:space="preserve"> shall deposit all checks and cash within one we</w:t>
            </w:r>
            <w:r w:rsidR="00970272" w:rsidRPr="00AF2F65">
              <w:rPr>
                <w:sz w:val="20"/>
              </w:rPr>
              <w:t>ek of receipt.  If the Chairman</w:t>
            </w:r>
            <w:r w:rsidRPr="00AF2F65">
              <w:rPr>
                <w:sz w:val="20"/>
              </w:rPr>
              <w:t xml:space="preserve"> is unavailable, copies will be made of any checks and th</w:t>
            </w:r>
            <w:r w:rsidR="00970272" w:rsidRPr="00AF2F65">
              <w:rPr>
                <w:sz w:val="20"/>
              </w:rPr>
              <w:t>en deposited by either the Treasurer</w:t>
            </w:r>
            <w:r w:rsidRPr="00AF2F65">
              <w:rPr>
                <w:sz w:val="20"/>
              </w:rPr>
              <w:t xml:space="preserve"> or Vice Chairman.</w:t>
            </w:r>
          </w:p>
          <w:p w14:paraId="2DB88302" w14:textId="77777777" w:rsidR="005D0134" w:rsidRPr="00AF2F65" w:rsidRDefault="005D0134" w:rsidP="007F046B">
            <w:pPr>
              <w:ind w:left="1080"/>
              <w:rPr>
                <w:sz w:val="20"/>
              </w:rPr>
            </w:pPr>
            <w:r w:rsidRPr="00AF2F65">
              <w:rPr>
                <w:sz w:val="20"/>
              </w:rPr>
              <w:t xml:space="preserve">Donation Box – CC Clinic will maintain a donation </w:t>
            </w:r>
            <w:r w:rsidR="00970272" w:rsidRPr="00AF2F65">
              <w:rPr>
                <w:sz w:val="20"/>
              </w:rPr>
              <w:t>box in the clinic</w:t>
            </w:r>
            <w:r w:rsidRPr="00AF2F65">
              <w:rPr>
                <w:sz w:val="20"/>
              </w:rPr>
              <w:t xml:space="preserve">.  The box will be emptied and counted </w:t>
            </w:r>
            <w:r w:rsidR="00970272" w:rsidRPr="00AF2F65">
              <w:rPr>
                <w:sz w:val="20"/>
              </w:rPr>
              <w:t xml:space="preserve">monthly </w:t>
            </w:r>
            <w:r w:rsidR="00A92469">
              <w:rPr>
                <w:sz w:val="20"/>
              </w:rPr>
              <w:t xml:space="preserve">by the Executive Director </w:t>
            </w:r>
            <w:r w:rsidR="00970272" w:rsidRPr="00AF2F65">
              <w:rPr>
                <w:sz w:val="20"/>
              </w:rPr>
              <w:t>after the last patient care session</w:t>
            </w:r>
            <w:r w:rsidRPr="00AF2F65">
              <w:rPr>
                <w:sz w:val="20"/>
              </w:rPr>
              <w:t xml:space="preserve">.  The Executive Director will turn those funds over to the </w:t>
            </w:r>
            <w:r w:rsidR="00970272" w:rsidRPr="00AF2F65">
              <w:rPr>
                <w:sz w:val="20"/>
              </w:rPr>
              <w:t xml:space="preserve">Chairman </w:t>
            </w:r>
            <w:r w:rsidR="006B0F69" w:rsidRPr="00AF2F65">
              <w:rPr>
                <w:sz w:val="20"/>
              </w:rPr>
              <w:t xml:space="preserve">(Treasurer, Vice Chairman) </w:t>
            </w:r>
            <w:r w:rsidR="00970272" w:rsidRPr="00AF2F65">
              <w:rPr>
                <w:sz w:val="20"/>
              </w:rPr>
              <w:t>to deposit into the c</w:t>
            </w:r>
            <w:r w:rsidRPr="00AF2F65">
              <w:rPr>
                <w:sz w:val="20"/>
              </w:rPr>
              <w:t xml:space="preserve">linic’s bank account. </w:t>
            </w:r>
          </w:p>
          <w:p w14:paraId="1A86A2E5" w14:textId="77777777" w:rsidR="00970272" w:rsidRPr="00AF2F65" w:rsidRDefault="00970272" w:rsidP="007F046B">
            <w:pPr>
              <w:ind w:left="1080"/>
              <w:rPr>
                <w:sz w:val="20"/>
              </w:rPr>
            </w:pPr>
          </w:p>
          <w:p w14:paraId="3A23E363" w14:textId="77777777" w:rsidR="005D0134" w:rsidRPr="00AF2F65" w:rsidRDefault="00970272" w:rsidP="00784B9A">
            <w:pPr>
              <w:ind w:left="1080"/>
              <w:rPr>
                <w:sz w:val="20"/>
              </w:rPr>
            </w:pPr>
            <w:r w:rsidRPr="00AF2F65">
              <w:rPr>
                <w:sz w:val="20"/>
              </w:rPr>
              <w:t>All deposit receipts</w:t>
            </w:r>
            <w:r w:rsidR="002746AF">
              <w:rPr>
                <w:sz w:val="20"/>
              </w:rPr>
              <w:t>’</w:t>
            </w:r>
            <w:r w:rsidRPr="00AF2F65">
              <w:rPr>
                <w:sz w:val="20"/>
              </w:rPr>
              <w:t xml:space="preserve"> backup documentation will be provided at the end of the month to the person responsible for the bookkeeping, for entry into the accounting system. </w:t>
            </w:r>
          </w:p>
          <w:p w14:paraId="0DD72FA6" w14:textId="77777777" w:rsidR="00784B9A" w:rsidRPr="00AF2F65" w:rsidRDefault="00784B9A" w:rsidP="00784B9A">
            <w:pPr>
              <w:ind w:left="1080"/>
              <w:rPr>
                <w:sz w:val="20"/>
              </w:rPr>
            </w:pPr>
          </w:p>
          <w:p w14:paraId="134BAF40" w14:textId="77777777" w:rsidR="005D0134" w:rsidRPr="00A92469" w:rsidRDefault="005D0134" w:rsidP="00A92469">
            <w:pPr>
              <w:numPr>
                <w:ilvl w:val="0"/>
                <w:numId w:val="4"/>
              </w:numPr>
              <w:spacing w:after="240"/>
              <w:rPr>
                <w:sz w:val="20"/>
              </w:rPr>
            </w:pPr>
            <w:r w:rsidRPr="00A92469">
              <w:rPr>
                <w:sz w:val="20"/>
              </w:rPr>
              <w:t xml:space="preserve">Grant Fund Management </w:t>
            </w:r>
            <w:r w:rsidR="00784B9A" w:rsidRPr="00A92469">
              <w:rPr>
                <w:sz w:val="20"/>
              </w:rPr>
              <w:br/>
            </w:r>
            <w:r w:rsidRPr="00A92469">
              <w:rPr>
                <w:sz w:val="20"/>
              </w:rPr>
              <w:t xml:space="preserve">The administration of grant funding will follow the guidelines outlined by each grant program.  </w:t>
            </w:r>
            <w:r w:rsidR="00DA6771" w:rsidRPr="00A92469">
              <w:rPr>
                <w:sz w:val="20"/>
              </w:rPr>
              <w:t>A record</w:t>
            </w:r>
            <w:r w:rsidRPr="00A92469">
              <w:rPr>
                <w:sz w:val="20"/>
              </w:rPr>
              <w:t xml:space="preserve"> will be maintained for each grant which records the following information:</w:t>
            </w:r>
          </w:p>
          <w:p w14:paraId="598EE9B7" w14:textId="77777777" w:rsidR="005D0134" w:rsidRPr="00AF2F65" w:rsidRDefault="005D0134" w:rsidP="005D0134">
            <w:pPr>
              <w:numPr>
                <w:ilvl w:val="0"/>
                <w:numId w:val="3"/>
              </w:numPr>
              <w:rPr>
                <w:sz w:val="20"/>
              </w:rPr>
            </w:pPr>
            <w:r w:rsidRPr="00AF2F65">
              <w:rPr>
                <w:sz w:val="20"/>
              </w:rPr>
              <w:t>The grant name</w:t>
            </w:r>
            <w:r w:rsidR="00784B9A" w:rsidRPr="00AF2F65">
              <w:rPr>
                <w:sz w:val="20"/>
              </w:rPr>
              <w:t>, number,</w:t>
            </w:r>
            <w:r w:rsidRPr="00AF2F65">
              <w:rPr>
                <w:sz w:val="20"/>
              </w:rPr>
              <w:t xml:space="preserve"> and description,</w:t>
            </w:r>
          </w:p>
          <w:p w14:paraId="5AA8E58C" w14:textId="77777777" w:rsidR="005D0134" w:rsidRPr="00AF2F65" w:rsidRDefault="005D0134" w:rsidP="005D0134">
            <w:pPr>
              <w:numPr>
                <w:ilvl w:val="0"/>
                <w:numId w:val="3"/>
              </w:numPr>
              <w:rPr>
                <w:sz w:val="20"/>
              </w:rPr>
            </w:pPr>
            <w:r w:rsidRPr="00AF2F65">
              <w:rPr>
                <w:sz w:val="20"/>
              </w:rPr>
              <w:t>Award Amount,</w:t>
            </w:r>
          </w:p>
          <w:p w14:paraId="1C7B246C" w14:textId="77777777" w:rsidR="005D0134" w:rsidRPr="00AF2F65" w:rsidRDefault="005D0134" w:rsidP="005D0134">
            <w:pPr>
              <w:numPr>
                <w:ilvl w:val="0"/>
                <w:numId w:val="3"/>
              </w:numPr>
              <w:rPr>
                <w:sz w:val="20"/>
              </w:rPr>
            </w:pPr>
            <w:r w:rsidRPr="00AF2F65">
              <w:rPr>
                <w:sz w:val="20"/>
              </w:rPr>
              <w:t xml:space="preserve">Grant start and end dates, and </w:t>
            </w:r>
          </w:p>
          <w:p w14:paraId="3B3100AD" w14:textId="77777777" w:rsidR="005D0134" w:rsidRPr="00AF2F65" w:rsidRDefault="005D0134" w:rsidP="005D0134">
            <w:pPr>
              <w:numPr>
                <w:ilvl w:val="0"/>
                <w:numId w:val="3"/>
              </w:numPr>
              <w:rPr>
                <w:sz w:val="20"/>
              </w:rPr>
            </w:pPr>
            <w:r w:rsidRPr="00AF2F65">
              <w:rPr>
                <w:sz w:val="20"/>
              </w:rPr>
              <w:t>Adjustments affecting grant amounts or grant period.</w:t>
            </w:r>
          </w:p>
          <w:p w14:paraId="61F3C496" w14:textId="77777777" w:rsidR="005D0134" w:rsidRPr="00AF2F65" w:rsidRDefault="005D0134" w:rsidP="007F046B">
            <w:pPr>
              <w:ind w:left="2088"/>
              <w:rPr>
                <w:sz w:val="20"/>
              </w:rPr>
            </w:pPr>
          </w:p>
          <w:p w14:paraId="5FC9A33B" w14:textId="77777777" w:rsidR="005D0134" w:rsidRPr="00AF2F65" w:rsidRDefault="00DA6771" w:rsidP="007F046B">
            <w:pPr>
              <w:ind w:left="1080"/>
              <w:rPr>
                <w:sz w:val="20"/>
              </w:rPr>
            </w:pPr>
            <w:r w:rsidRPr="00AF2F65">
              <w:rPr>
                <w:sz w:val="20"/>
              </w:rPr>
              <w:t>The accounting for each grant shall include</w:t>
            </w:r>
            <w:r w:rsidR="005D0134" w:rsidRPr="00AF2F65">
              <w:rPr>
                <w:sz w:val="20"/>
              </w:rPr>
              <w:t>:</w:t>
            </w:r>
          </w:p>
          <w:p w14:paraId="5587E81F" w14:textId="77777777" w:rsidR="005D0134" w:rsidRPr="00AF2F65" w:rsidRDefault="005D0134" w:rsidP="005D0134">
            <w:pPr>
              <w:numPr>
                <w:ilvl w:val="0"/>
                <w:numId w:val="3"/>
              </w:numPr>
              <w:rPr>
                <w:sz w:val="20"/>
              </w:rPr>
            </w:pPr>
            <w:r w:rsidRPr="00AF2F65">
              <w:rPr>
                <w:sz w:val="20"/>
              </w:rPr>
              <w:t>Amount of funding received,</w:t>
            </w:r>
          </w:p>
          <w:p w14:paraId="59E0D75C" w14:textId="77777777" w:rsidR="005D0134" w:rsidRPr="00AF2F65" w:rsidRDefault="005D0134" w:rsidP="005D0134">
            <w:pPr>
              <w:numPr>
                <w:ilvl w:val="0"/>
                <w:numId w:val="3"/>
              </w:numPr>
              <w:rPr>
                <w:sz w:val="20"/>
              </w:rPr>
            </w:pPr>
            <w:r w:rsidRPr="00AF2F65">
              <w:rPr>
                <w:sz w:val="20"/>
              </w:rPr>
              <w:t>Expenditures applied against grant award, and</w:t>
            </w:r>
          </w:p>
          <w:p w14:paraId="21B2C60E" w14:textId="77777777" w:rsidR="005D0134" w:rsidRPr="00AF2F65" w:rsidRDefault="005D0134" w:rsidP="005D0134">
            <w:pPr>
              <w:numPr>
                <w:ilvl w:val="0"/>
                <w:numId w:val="3"/>
              </w:numPr>
              <w:rPr>
                <w:sz w:val="20"/>
              </w:rPr>
            </w:pPr>
            <w:r w:rsidRPr="00AF2F65">
              <w:rPr>
                <w:sz w:val="20"/>
              </w:rPr>
              <w:t>Grant balance</w:t>
            </w:r>
          </w:p>
          <w:p w14:paraId="6264D48F" w14:textId="77777777" w:rsidR="005D0134" w:rsidRPr="00AF2F65" w:rsidRDefault="005D0134" w:rsidP="007F046B">
            <w:pPr>
              <w:ind w:left="2163"/>
              <w:rPr>
                <w:i/>
                <w:sz w:val="20"/>
              </w:rPr>
            </w:pPr>
          </w:p>
          <w:p w14:paraId="513B6B1C" w14:textId="77777777" w:rsidR="005D0134" w:rsidRPr="004C6AB5" w:rsidRDefault="005D0134" w:rsidP="005D0134">
            <w:pPr>
              <w:numPr>
                <w:ilvl w:val="0"/>
                <w:numId w:val="2"/>
              </w:numPr>
              <w:spacing w:after="240"/>
              <w:rPr>
                <w:b/>
                <w:sz w:val="20"/>
              </w:rPr>
            </w:pPr>
            <w:r w:rsidRPr="004C6AB5">
              <w:rPr>
                <w:b/>
                <w:sz w:val="20"/>
              </w:rPr>
              <w:t>Expense Procedures</w:t>
            </w:r>
          </w:p>
          <w:p w14:paraId="6F88DFFE" w14:textId="77777777" w:rsidR="005D0134" w:rsidRDefault="005D0134" w:rsidP="007F046B">
            <w:pPr>
              <w:ind w:left="721"/>
              <w:rPr>
                <w:b/>
                <w:sz w:val="20"/>
              </w:rPr>
            </w:pPr>
            <w:r w:rsidRPr="004C6AB5">
              <w:rPr>
                <w:b/>
                <w:sz w:val="20"/>
              </w:rPr>
              <w:t>Cash disbursements</w:t>
            </w:r>
          </w:p>
          <w:p w14:paraId="710616C5" w14:textId="77777777" w:rsidR="00A92469" w:rsidRPr="004C6AB5" w:rsidRDefault="00A92469" w:rsidP="007F046B">
            <w:pPr>
              <w:ind w:left="721"/>
              <w:rPr>
                <w:b/>
                <w:sz w:val="20"/>
              </w:rPr>
            </w:pPr>
          </w:p>
          <w:p w14:paraId="11A47B61" w14:textId="6E81C191" w:rsidR="006B0F69" w:rsidRDefault="007F260E" w:rsidP="007F046B">
            <w:pPr>
              <w:ind w:left="1442"/>
              <w:rPr>
                <w:sz w:val="20"/>
              </w:rPr>
            </w:pPr>
            <w:r w:rsidRPr="00AF2F65">
              <w:rPr>
                <w:sz w:val="20"/>
              </w:rPr>
              <w:t>The Chairman</w:t>
            </w:r>
            <w:r w:rsidR="005D0134" w:rsidRPr="00AF2F65">
              <w:rPr>
                <w:sz w:val="20"/>
              </w:rPr>
              <w:t xml:space="preserve"> will review and provide initial approval for all expenses. </w:t>
            </w:r>
            <w:r w:rsidR="00506397">
              <w:rPr>
                <w:sz w:val="20"/>
              </w:rPr>
              <w:t>All bills will be verified by the Chairman, Vice Chairman or Treasurer and then paid.</w:t>
            </w:r>
          </w:p>
          <w:p w14:paraId="02EBD735" w14:textId="77777777" w:rsidR="00506397" w:rsidRPr="00AF2F65" w:rsidRDefault="00506397" w:rsidP="007F046B">
            <w:pPr>
              <w:ind w:left="1442"/>
              <w:rPr>
                <w:sz w:val="20"/>
              </w:rPr>
            </w:pPr>
          </w:p>
          <w:p w14:paraId="6E1DFCCC" w14:textId="77777777" w:rsidR="005D0134" w:rsidRDefault="00A92469" w:rsidP="007F046B">
            <w:pPr>
              <w:ind w:left="1442"/>
              <w:rPr>
                <w:sz w:val="20"/>
              </w:rPr>
            </w:pPr>
            <w:r>
              <w:rPr>
                <w:sz w:val="20"/>
              </w:rPr>
              <w:t>A</w:t>
            </w:r>
            <w:r w:rsidR="002746AF">
              <w:rPr>
                <w:sz w:val="20"/>
              </w:rPr>
              <w:t xml:space="preserve"> copy </w:t>
            </w:r>
            <w:r>
              <w:rPr>
                <w:sz w:val="20"/>
              </w:rPr>
              <w:t xml:space="preserve">of each bill/invoice </w:t>
            </w:r>
            <w:r w:rsidR="002746AF">
              <w:rPr>
                <w:sz w:val="20"/>
              </w:rPr>
              <w:t xml:space="preserve">will be </w:t>
            </w:r>
            <w:r w:rsidR="007F260E" w:rsidRPr="00AF2F65">
              <w:rPr>
                <w:sz w:val="20"/>
              </w:rPr>
              <w:t>provided at the end of the month to the person responsible for the bookkeeping entry into the accounting system.</w:t>
            </w:r>
            <w:r w:rsidR="005D0134" w:rsidRPr="00AF2F65">
              <w:rPr>
                <w:sz w:val="20"/>
              </w:rPr>
              <w:t xml:space="preserve"> If paid by check, the check number, date paid</w:t>
            </w:r>
            <w:r w:rsidR="001555E8">
              <w:rPr>
                <w:sz w:val="20"/>
              </w:rPr>
              <w:t>,</w:t>
            </w:r>
            <w:r w:rsidR="005D0134" w:rsidRPr="00AF2F65">
              <w:rPr>
                <w:sz w:val="20"/>
              </w:rPr>
              <w:t xml:space="preserve"> and revenue source used for payment, if applicable, shall be noted on the</w:t>
            </w:r>
            <w:r w:rsidR="002746AF">
              <w:rPr>
                <w:sz w:val="20"/>
              </w:rPr>
              <w:t xml:space="preserve"> copy of the</w:t>
            </w:r>
            <w:r w:rsidR="005D0134" w:rsidRPr="00AF2F65">
              <w:rPr>
                <w:sz w:val="20"/>
              </w:rPr>
              <w:t xml:space="preserve"> bill. </w:t>
            </w:r>
          </w:p>
          <w:p w14:paraId="0F77FFAB" w14:textId="77777777" w:rsidR="001555E8" w:rsidRDefault="001555E8" w:rsidP="007F046B">
            <w:pPr>
              <w:ind w:left="1442"/>
              <w:rPr>
                <w:sz w:val="20"/>
              </w:rPr>
            </w:pPr>
          </w:p>
          <w:p w14:paraId="099809C8" w14:textId="77777777" w:rsidR="001555E8" w:rsidRDefault="001555E8" w:rsidP="007F046B">
            <w:pPr>
              <w:ind w:left="1442"/>
              <w:rPr>
                <w:sz w:val="20"/>
              </w:rPr>
            </w:pPr>
          </w:p>
          <w:p w14:paraId="28BBFC26" w14:textId="77777777" w:rsidR="001555E8" w:rsidRDefault="001555E8" w:rsidP="007F046B">
            <w:pPr>
              <w:ind w:left="1442"/>
              <w:rPr>
                <w:sz w:val="20"/>
              </w:rPr>
            </w:pPr>
          </w:p>
          <w:p w14:paraId="4EC50403" w14:textId="77777777" w:rsidR="001555E8" w:rsidRDefault="001555E8" w:rsidP="007F046B">
            <w:pPr>
              <w:ind w:left="1442"/>
              <w:rPr>
                <w:sz w:val="20"/>
              </w:rPr>
            </w:pPr>
          </w:p>
          <w:p w14:paraId="7737C87E" w14:textId="77777777" w:rsidR="001555E8" w:rsidRDefault="001555E8" w:rsidP="007F046B">
            <w:pPr>
              <w:ind w:left="1442"/>
              <w:rPr>
                <w:sz w:val="20"/>
              </w:rPr>
            </w:pPr>
          </w:p>
          <w:p w14:paraId="32138F12" w14:textId="77777777" w:rsidR="001555E8" w:rsidRDefault="001555E8" w:rsidP="007F046B">
            <w:pPr>
              <w:ind w:left="1442"/>
              <w:rPr>
                <w:sz w:val="20"/>
              </w:rPr>
            </w:pPr>
          </w:p>
          <w:p w14:paraId="336484C6" w14:textId="77777777" w:rsidR="001555E8" w:rsidRDefault="001555E8" w:rsidP="007F046B">
            <w:pPr>
              <w:ind w:left="1442"/>
              <w:rPr>
                <w:sz w:val="20"/>
              </w:rPr>
            </w:pPr>
          </w:p>
          <w:p w14:paraId="3246749A" w14:textId="77777777" w:rsidR="00AF2F65" w:rsidRPr="00AF2F65" w:rsidRDefault="00AF2F65" w:rsidP="007F046B">
            <w:pPr>
              <w:ind w:left="1442"/>
              <w:rPr>
                <w:sz w:val="20"/>
              </w:rPr>
            </w:pPr>
          </w:p>
          <w:p w14:paraId="53F3F529" w14:textId="77777777" w:rsidR="005D0134" w:rsidRPr="004C6AB5" w:rsidRDefault="005D0134" w:rsidP="007F046B">
            <w:pPr>
              <w:ind w:left="720"/>
              <w:rPr>
                <w:b/>
                <w:sz w:val="20"/>
              </w:rPr>
            </w:pPr>
            <w:r w:rsidRPr="004C6AB5">
              <w:rPr>
                <w:b/>
                <w:sz w:val="20"/>
              </w:rPr>
              <w:t>Electronic payments</w:t>
            </w:r>
            <w:r w:rsidR="00554C25">
              <w:rPr>
                <w:b/>
                <w:sz w:val="20"/>
              </w:rPr>
              <w:br/>
            </w:r>
          </w:p>
          <w:p w14:paraId="51110F18" w14:textId="77777777" w:rsidR="005D0134" w:rsidRPr="00AF2F65" w:rsidRDefault="005D0134" w:rsidP="007F046B">
            <w:pPr>
              <w:ind w:left="1442"/>
              <w:rPr>
                <w:sz w:val="20"/>
              </w:rPr>
            </w:pPr>
            <w:r w:rsidRPr="00AF2F65">
              <w:rPr>
                <w:sz w:val="20"/>
              </w:rPr>
              <w:t>To the extent possible, payments should be made by electronic funds transfer, online bill payment or by charges to the CC Clinic credit card, if applicable.</w:t>
            </w:r>
          </w:p>
          <w:p w14:paraId="167CE676" w14:textId="77777777" w:rsidR="00A92469" w:rsidRDefault="00A92469" w:rsidP="007F046B">
            <w:pPr>
              <w:ind w:left="1442"/>
              <w:rPr>
                <w:sz w:val="20"/>
              </w:rPr>
            </w:pPr>
          </w:p>
          <w:p w14:paraId="50A1EF12" w14:textId="77777777" w:rsidR="005D0134" w:rsidRPr="00AF2F65" w:rsidRDefault="005D0134" w:rsidP="007F046B">
            <w:pPr>
              <w:ind w:left="1442"/>
              <w:rPr>
                <w:sz w:val="20"/>
              </w:rPr>
            </w:pPr>
            <w:r w:rsidRPr="00AF2F65">
              <w:rPr>
                <w:sz w:val="20"/>
              </w:rPr>
              <w:t>The date, transaction or confirmation number and ledger category shall be recorded on the bill or invoice paid online or through electronic funds transfer.</w:t>
            </w:r>
          </w:p>
          <w:p w14:paraId="6F5D53D6" w14:textId="77777777" w:rsidR="005D0134" w:rsidRPr="00AF2F65" w:rsidRDefault="005D0134" w:rsidP="007F046B">
            <w:pPr>
              <w:ind w:left="1442"/>
              <w:rPr>
                <w:sz w:val="20"/>
              </w:rPr>
            </w:pPr>
          </w:p>
          <w:p w14:paraId="6A6631D3" w14:textId="77777777" w:rsidR="005D0134" w:rsidRPr="00AF2F65" w:rsidRDefault="005D0134" w:rsidP="007F046B">
            <w:pPr>
              <w:ind w:left="1442"/>
              <w:rPr>
                <w:sz w:val="20"/>
              </w:rPr>
            </w:pPr>
            <w:r w:rsidRPr="00AF2F65">
              <w:rPr>
                <w:sz w:val="20"/>
              </w:rPr>
              <w:t xml:space="preserve">Payments made by direct posting to the CC Clinic checking account, such as bank service charges, will be entered directly into the appropriate account </w:t>
            </w:r>
            <w:r w:rsidR="007F260E" w:rsidRPr="00AF2F65">
              <w:rPr>
                <w:sz w:val="20"/>
              </w:rPr>
              <w:t xml:space="preserve">at the end of the month </w:t>
            </w:r>
            <w:r w:rsidRPr="00AF2F65">
              <w:rPr>
                <w:sz w:val="20"/>
              </w:rPr>
              <w:t>in</w:t>
            </w:r>
            <w:r w:rsidR="007F260E" w:rsidRPr="00AF2F65">
              <w:rPr>
                <w:sz w:val="20"/>
              </w:rPr>
              <w:t xml:space="preserve"> the accounting system</w:t>
            </w:r>
            <w:r w:rsidRPr="00AF2F65">
              <w:rPr>
                <w:sz w:val="20"/>
              </w:rPr>
              <w:t>.</w:t>
            </w:r>
          </w:p>
          <w:p w14:paraId="6D9259DF" w14:textId="77777777" w:rsidR="005D0134" w:rsidRPr="00AF2F65" w:rsidRDefault="005D0134" w:rsidP="007F046B">
            <w:pPr>
              <w:ind w:left="1442"/>
              <w:rPr>
                <w:sz w:val="20"/>
              </w:rPr>
            </w:pPr>
          </w:p>
          <w:p w14:paraId="228EA145" w14:textId="77777777" w:rsidR="005D0134" w:rsidRPr="00AF2F65" w:rsidRDefault="007F260E" w:rsidP="007F046B">
            <w:pPr>
              <w:ind w:left="1442"/>
              <w:rPr>
                <w:sz w:val="20"/>
              </w:rPr>
            </w:pPr>
            <w:r w:rsidRPr="00AF2F65">
              <w:rPr>
                <w:sz w:val="20"/>
              </w:rPr>
              <w:t>A</w:t>
            </w:r>
            <w:r w:rsidR="005D0134" w:rsidRPr="00AF2F65">
              <w:rPr>
                <w:sz w:val="20"/>
              </w:rPr>
              <w:t>ppropriate entries</w:t>
            </w:r>
            <w:r w:rsidRPr="00AF2F65">
              <w:rPr>
                <w:sz w:val="20"/>
              </w:rPr>
              <w:t xml:space="preserve"> will be made in the accounting system to track </w:t>
            </w:r>
            <w:r w:rsidR="005D0134" w:rsidRPr="00AF2F65">
              <w:rPr>
                <w:sz w:val="20"/>
              </w:rPr>
              <w:t xml:space="preserve">all expenses to grant awards or to </w:t>
            </w:r>
            <w:r w:rsidRPr="00AF2F65">
              <w:rPr>
                <w:sz w:val="20"/>
              </w:rPr>
              <w:t>the operating fund</w:t>
            </w:r>
            <w:r w:rsidR="005D0134" w:rsidRPr="00AF2F65">
              <w:rPr>
                <w:sz w:val="20"/>
              </w:rPr>
              <w:t>.</w:t>
            </w:r>
          </w:p>
          <w:p w14:paraId="54CDA536" w14:textId="77777777" w:rsidR="005D0134" w:rsidRPr="00AF2F65" w:rsidRDefault="005D0134" w:rsidP="007F046B">
            <w:pPr>
              <w:ind w:left="720"/>
              <w:rPr>
                <w:b/>
                <w:sz w:val="20"/>
              </w:rPr>
            </w:pPr>
          </w:p>
          <w:p w14:paraId="7047FDF4" w14:textId="77777777" w:rsidR="005D0134" w:rsidRPr="004C6AB5" w:rsidRDefault="005D0134" w:rsidP="007F046B">
            <w:pPr>
              <w:ind w:left="720"/>
              <w:rPr>
                <w:b/>
                <w:sz w:val="20"/>
              </w:rPr>
            </w:pPr>
            <w:r w:rsidRPr="004C6AB5">
              <w:rPr>
                <w:b/>
                <w:sz w:val="20"/>
              </w:rPr>
              <w:t>Petty Cash</w:t>
            </w:r>
          </w:p>
          <w:p w14:paraId="14E664B7" w14:textId="77777777" w:rsidR="005D0134" w:rsidRPr="00AF2F65" w:rsidRDefault="005D0134" w:rsidP="007F046B">
            <w:pPr>
              <w:ind w:left="720"/>
              <w:rPr>
                <w:b/>
                <w:i/>
                <w:sz w:val="20"/>
              </w:rPr>
            </w:pPr>
          </w:p>
          <w:p w14:paraId="65B289AF" w14:textId="77777777" w:rsidR="006B0F69" w:rsidRPr="00AF2F65" w:rsidRDefault="006B0F69" w:rsidP="007F046B">
            <w:pPr>
              <w:ind w:left="1442"/>
              <w:rPr>
                <w:i/>
                <w:sz w:val="20"/>
              </w:rPr>
            </w:pPr>
            <w:r w:rsidRPr="00AF2F65">
              <w:rPr>
                <w:sz w:val="20"/>
              </w:rPr>
              <w:t>CC Clinic will keep</w:t>
            </w:r>
            <w:r w:rsidR="005D0134" w:rsidRPr="00AF2F65">
              <w:rPr>
                <w:sz w:val="20"/>
              </w:rPr>
              <w:t xml:space="preserve"> $50.00 available on hand at the clinic.  The petty cash fund will be replenished when necessary by the </w:t>
            </w:r>
            <w:r w:rsidRPr="00AF2F65">
              <w:rPr>
                <w:sz w:val="20"/>
              </w:rPr>
              <w:t>Chairman</w:t>
            </w:r>
            <w:r w:rsidR="005D0134" w:rsidRPr="00AF2F65">
              <w:rPr>
                <w:sz w:val="20"/>
              </w:rPr>
              <w:t xml:space="preserve"> </w:t>
            </w:r>
            <w:r w:rsidRPr="00AF2F65">
              <w:rPr>
                <w:sz w:val="20"/>
              </w:rPr>
              <w:t xml:space="preserve">(Vice Chairman, Treasurer) </w:t>
            </w:r>
            <w:r w:rsidR="005D0134" w:rsidRPr="00AF2F65">
              <w:rPr>
                <w:sz w:val="20"/>
              </w:rPr>
              <w:t>upon notification by the Executive Director</w:t>
            </w:r>
            <w:r w:rsidR="008870E4">
              <w:rPr>
                <w:sz w:val="20"/>
              </w:rPr>
              <w:t xml:space="preserve"> (ED)</w:t>
            </w:r>
            <w:r w:rsidR="005D0134" w:rsidRPr="00AF2F65">
              <w:rPr>
                <w:sz w:val="20"/>
              </w:rPr>
              <w:t xml:space="preserve"> </w:t>
            </w:r>
            <w:r w:rsidRPr="00AF2F65">
              <w:rPr>
                <w:sz w:val="20"/>
              </w:rPr>
              <w:t>that the fund has been depleted</w:t>
            </w:r>
            <w:r w:rsidR="008870E4">
              <w:rPr>
                <w:sz w:val="20"/>
              </w:rPr>
              <w:t xml:space="preserve">. The ED </w:t>
            </w:r>
            <w:r w:rsidRPr="00AF2F65">
              <w:rPr>
                <w:sz w:val="20"/>
              </w:rPr>
              <w:t xml:space="preserve">will </w:t>
            </w:r>
            <w:r w:rsidR="008870E4">
              <w:rPr>
                <w:sz w:val="20"/>
              </w:rPr>
              <w:t xml:space="preserve">furnish </w:t>
            </w:r>
            <w:r w:rsidRPr="00AF2F65">
              <w:rPr>
                <w:sz w:val="20"/>
              </w:rPr>
              <w:t>an itemization of the receipts and their total</w:t>
            </w:r>
            <w:r w:rsidR="008870E4">
              <w:rPr>
                <w:sz w:val="20"/>
              </w:rPr>
              <w:t xml:space="preserve"> (the amount to be replenished), and the officer will reconcile the petty cash to $50.00.</w:t>
            </w:r>
            <w:r w:rsidRPr="00AF2F65">
              <w:rPr>
                <w:sz w:val="20"/>
              </w:rPr>
              <w:t xml:space="preserve"> </w:t>
            </w:r>
          </w:p>
          <w:p w14:paraId="0D58EA2D" w14:textId="77777777" w:rsidR="005D0134" w:rsidRPr="00AF2F65" w:rsidRDefault="005D0134" w:rsidP="007F046B">
            <w:pPr>
              <w:ind w:left="1442"/>
              <w:rPr>
                <w:i/>
                <w:sz w:val="20"/>
              </w:rPr>
            </w:pPr>
            <w:r w:rsidRPr="00AF2F65">
              <w:rPr>
                <w:i/>
                <w:sz w:val="20"/>
              </w:rPr>
              <w:t xml:space="preserve">  </w:t>
            </w:r>
          </w:p>
          <w:p w14:paraId="271C6D88" w14:textId="77777777" w:rsidR="005D0134" w:rsidRPr="004C6AB5" w:rsidRDefault="005D0134" w:rsidP="007F046B">
            <w:pPr>
              <w:ind w:left="721"/>
              <w:rPr>
                <w:b/>
                <w:sz w:val="20"/>
              </w:rPr>
            </w:pPr>
            <w:r w:rsidRPr="004C6AB5">
              <w:rPr>
                <w:b/>
                <w:sz w:val="20"/>
              </w:rPr>
              <w:t>Debit Card</w:t>
            </w:r>
          </w:p>
          <w:p w14:paraId="08A2C231" w14:textId="77777777" w:rsidR="005D0134" w:rsidRPr="00AF2F65" w:rsidRDefault="005D0134" w:rsidP="007F046B">
            <w:pPr>
              <w:ind w:left="721"/>
              <w:rPr>
                <w:b/>
                <w:i/>
                <w:sz w:val="20"/>
              </w:rPr>
            </w:pPr>
          </w:p>
          <w:p w14:paraId="670085B9" w14:textId="77777777" w:rsidR="005D0134" w:rsidRPr="00AF2F65" w:rsidRDefault="005D0134" w:rsidP="007F046B">
            <w:pPr>
              <w:ind w:left="1442"/>
              <w:rPr>
                <w:sz w:val="20"/>
              </w:rPr>
            </w:pPr>
            <w:r w:rsidRPr="00AF2F65">
              <w:rPr>
                <w:sz w:val="20"/>
              </w:rPr>
              <w:t xml:space="preserve">CC Clinic maintains a debit card linked to the checking account that will be used for business-related expenses as defined by the Board.  Whenever the card is used, documentation of the purchase should be provided to the </w:t>
            </w:r>
            <w:r w:rsidR="006B0F69" w:rsidRPr="00AF2F65">
              <w:rPr>
                <w:sz w:val="20"/>
              </w:rPr>
              <w:t>person responsible for the bookkeeping, along with all other receipts</w:t>
            </w:r>
            <w:r w:rsidR="008870E4">
              <w:rPr>
                <w:sz w:val="20"/>
              </w:rPr>
              <w:t>,</w:t>
            </w:r>
            <w:r w:rsidR="006B0F69" w:rsidRPr="00AF2F65">
              <w:rPr>
                <w:sz w:val="20"/>
              </w:rPr>
              <w:t xml:space="preserve"> at the end of the month</w:t>
            </w:r>
            <w:r w:rsidRPr="00AF2F65">
              <w:rPr>
                <w:sz w:val="20"/>
              </w:rPr>
              <w:t>.</w:t>
            </w:r>
          </w:p>
          <w:p w14:paraId="1A1705B1" w14:textId="77777777" w:rsidR="005D0134" w:rsidRPr="00AF2F65" w:rsidRDefault="005D0134" w:rsidP="007F046B">
            <w:pPr>
              <w:ind w:left="1442"/>
              <w:rPr>
                <w:b/>
                <w:sz w:val="20"/>
              </w:rPr>
            </w:pPr>
          </w:p>
          <w:p w14:paraId="004217F8" w14:textId="77777777" w:rsidR="005D0134" w:rsidRPr="004C6AB5" w:rsidRDefault="005D0134" w:rsidP="005D0134">
            <w:pPr>
              <w:numPr>
                <w:ilvl w:val="0"/>
                <w:numId w:val="2"/>
              </w:numPr>
              <w:spacing w:after="240"/>
              <w:rPr>
                <w:b/>
                <w:sz w:val="20"/>
              </w:rPr>
            </w:pPr>
            <w:r w:rsidRPr="004C6AB5">
              <w:rPr>
                <w:b/>
                <w:sz w:val="20"/>
              </w:rPr>
              <w:t>Records Management</w:t>
            </w:r>
          </w:p>
          <w:p w14:paraId="029E2F35" w14:textId="77777777" w:rsidR="005D0134" w:rsidRPr="004C6AB5" w:rsidRDefault="005D0134" w:rsidP="007F046B">
            <w:pPr>
              <w:tabs>
                <w:tab w:val="left" w:pos="-2340"/>
                <w:tab w:val="left" w:pos="720"/>
              </w:tabs>
              <w:ind w:left="721"/>
              <w:rPr>
                <w:sz w:val="20"/>
              </w:rPr>
            </w:pPr>
            <w:r w:rsidRPr="004C6AB5">
              <w:rPr>
                <w:b/>
                <w:sz w:val="20"/>
              </w:rPr>
              <w:t>Records Retention</w:t>
            </w:r>
            <w:r w:rsidRPr="004C6AB5">
              <w:rPr>
                <w:sz w:val="20"/>
              </w:rPr>
              <w:t xml:space="preserve"> </w:t>
            </w:r>
          </w:p>
          <w:p w14:paraId="0985BAE2" w14:textId="77777777" w:rsidR="005D0134" w:rsidRPr="00AF2F65" w:rsidRDefault="005D0134" w:rsidP="007F046B">
            <w:pPr>
              <w:tabs>
                <w:tab w:val="left" w:pos="-2340"/>
                <w:tab w:val="left" w:pos="720"/>
              </w:tabs>
              <w:ind w:left="721"/>
              <w:rPr>
                <w:i/>
                <w:sz w:val="20"/>
              </w:rPr>
            </w:pPr>
          </w:p>
          <w:p w14:paraId="6A5F1B8C" w14:textId="7BC03908" w:rsidR="005D0134" w:rsidRPr="00AF2F65" w:rsidRDefault="005D0134" w:rsidP="007F046B">
            <w:pPr>
              <w:tabs>
                <w:tab w:val="left" w:pos="-2340"/>
                <w:tab w:val="left" w:pos="720"/>
              </w:tabs>
              <w:ind w:left="721"/>
              <w:rPr>
                <w:sz w:val="20"/>
              </w:rPr>
            </w:pPr>
            <w:r w:rsidRPr="00AF2F65">
              <w:rPr>
                <w:sz w:val="20"/>
              </w:rPr>
              <w:t xml:space="preserve">All original records and documentation, including financial records and minutes of CC Clinic Board of Directors shall be retained for a minimum of </w:t>
            </w:r>
            <w:r w:rsidR="00506397">
              <w:rPr>
                <w:sz w:val="20"/>
              </w:rPr>
              <w:t>seven</w:t>
            </w:r>
            <w:r w:rsidRPr="00AF2F65">
              <w:rPr>
                <w:sz w:val="20"/>
              </w:rPr>
              <w:t xml:space="preserve"> years, unless a longer retention period is required by a grant or other authority.  All original records older than</w:t>
            </w:r>
            <w:r w:rsidR="00506397">
              <w:rPr>
                <w:sz w:val="20"/>
              </w:rPr>
              <w:t xml:space="preserve"> seven </w:t>
            </w:r>
            <w:r w:rsidRPr="00AF2F65">
              <w:rPr>
                <w:sz w:val="20"/>
              </w:rPr>
              <w:t>years may be converted for retention into an appropriate electronic format or disposed of in an appropriate manner.</w:t>
            </w:r>
          </w:p>
          <w:p w14:paraId="5DB0B14C" w14:textId="77777777" w:rsidR="005D0134" w:rsidRPr="00AF2F65" w:rsidRDefault="005D0134" w:rsidP="007F046B">
            <w:pPr>
              <w:tabs>
                <w:tab w:val="left" w:pos="-2340"/>
                <w:tab w:val="left" w:pos="720"/>
              </w:tabs>
              <w:ind w:left="721"/>
              <w:rPr>
                <w:b/>
                <w:sz w:val="20"/>
              </w:rPr>
            </w:pPr>
          </w:p>
          <w:p w14:paraId="5E8E9443" w14:textId="77777777" w:rsidR="005D0134" w:rsidRDefault="005D0134" w:rsidP="007F046B">
            <w:pPr>
              <w:tabs>
                <w:tab w:val="left" w:pos="-2340"/>
                <w:tab w:val="left" w:pos="720"/>
              </w:tabs>
              <w:ind w:left="721"/>
              <w:rPr>
                <w:sz w:val="20"/>
              </w:rPr>
            </w:pPr>
            <w:r w:rsidRPr="004C6AB5">
              <w:rPr>
                <w:b/>
                <w:sz w:val="20"/>
              </w:rPr>
              <w:t>Records Security</w:t>
            </w:r>
            <w:r w:rsidRPr="004C6AB5">
              <w:rPr>
                <w:sz w:val="20"/>
              </w:rPr>
              <w:t xml:space="preserve"> </w:t>
            </w:r>
          </w:p>
          <w:p w14:paraId="1EDABE83" w14:textId="77777777" w:rsidR="00554C25" w:rsidRPr="004C6AB5" w:rsidRDefault="00554C25" w:rsidP="007F046B">
            <w:pPr>
              <w:tabs>
                <w:tab w:val="left" w:pos="-2340"/>
                <w:tab w:val="left" w:pos="720"/>
              </w:tabs>
              <w:ind w:left="721"/>
              <w:rPr>
                <w:sz w:val="20"/>
              </w:rPr>
            </w:pPr>
          </w:p>
          <w:p w14:paraId="48CB57D8" w14:textId="77777777" w:rsidR="005D0134" w:rsidRDefault="005D0134" w:rsidP="00784B9A">
            <w:pPr>
              <w:tabs>
                <w:tab w:val="left" w:pos="-2340"/>
                <w:tab w:val="left" w:pos="720"/>
              </w:tabs>
              <w:ind w:left="721"/>
              <w:rPr>
                <w:sz w:val="20"/>
              </w:rPr>
            </w:pPr>
            <w:r w:rsidRPr="00AF2F65">
              <w:rPr>
                <w:sz w:val="20"/>
              </w:rPr>
              <w:t>All computer-based electronic record</w:t>
            </w:r>
            <w:r w:rsidR="008D5C3D">
              <w:rPr>
                <w:sz w:val="20"/>
              </w:rPr>
              <w:t>s shall be backed up on</w:t>
            </w:r>
            <w:r w:rsidR="00F97D84">
              <w:rPr>
                <w:sz w:val="20"/>
              </w:rPr>
              <w:t xml:space="preserve"> CC Clinic’s server regularly</w:t>
            </w:r>
            <w:r w:rsidR="008D5C3D">
              <w:rPr>
                <w:sz w:val="20"/>
              </w:rPr>
              <w:t>, at least monthly</w:t>
            </w:r>
            <w:r w:rsidRPr="00AF2F65">
              <w:rPr>
                <w:sz w:val="20"/>
              </w:rPr>
              <w:t xml:space="preserve">.  A back-up copy of CC Clinic </w:t>
            </w:r>
            <w:r w:rsidR="00F97D84">
              <w:rPr>
                <w:sz w:val="20"/>
              </w:rPr>
              <w:t xml:space="preserve">accounting system’s </w:t>
            </w:r>
            <w:r w:rsidRPr="00AF2F65">
              <w:rPr>
                <w:sz w:val="20"/>
              </w:rPr>
              <w:t xml:space="preserve">financial records shall also be stored </w:t>
            </w:r>
            <w:r w:rsidR="005F3893" w:rsidRPr="00F97D84">
              <w:rPr>
                <w:sz w:val="20"/>
              </w:rPr>
              <w:t xml:space="preserve">on a flash drive in a secure </w:t>
            </w:r>
            <w:r w:rsidR="001555E8" w:rsidRPr="00F97D84">
              <w:rPr>
                <w:sz w:val="20"/>
              </w:rPr>
              <w:t>location off-site.</w:t>
            </w:r>
            <w:r w:rsidRPr="00F97D84">
              <w:rPr>
                <w:sz w:val="20"/>
              </w:rPr>
              <w:t xml:space="preserve"> </w:t>
            </w:r>
          </w:p>
          <w:p w14:paraId="3BF5D269" w14:textId="77777777" w:rsidR="004C6AB5" w:rsidRDefault="004C6AB5" w:rsidP="00784B9A">
            <w:pPr>
              <w:tabs>
                <w:tab w:val="left" w:pos="-2340"/>
                <w:tab w:val="left" w:pos="720"/>
              </w:tabs>
              <w:ind w:left="721"/>
              <w:rPr>
                <w:sz w:val="20"/>
              </w:rPr>
            </w:pPr>
          </w:p>
          <w:p w14:paraId="6095D0EC" w14:textId="77777777" w:rsidR="004C6AB5" w:rsidRPr="00056BA3" w:rsidRDefault="004C6AB5" w:rsidP="00784B9A">
            <w:pPr>
              <w:tabs>
                <w:tab w:val="left" w:pos="-2340"/>
                <w:tab w:val="left" w:pos="720"/>
              </w:tabs>
              <w:ind w:left="721"/>
              <w:rPr>
                <w:i/>
                <w:sz w:val="18"/>
                <w:szCs w:val="18"/>
              </w:rPr>
            </w:pPr>
          </w:p>
        </w:tc>
      </w:tr>
      <w:tr w:rsidR="00A92469" w14:paraId="31057644" w14:textId="77777777" w:rsidTr="007F046B">
        <w:tc>
          <w:tcPr>
            <w:tcW w:w="37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B8CCE4" w:themeColor="accent1" w:themeTint="66"/>
            </w:tcBorders>
            <w:shd w:val="clear" w:color="auto" w:fill="95B3D7" w:themeFill="accent1" w:themeFillTint="99"/>
          </w:tcPr>
          <w:p w14:paraId="459951B6" w14:textId="77777777" w:rsidR="00A92469" w:rsidRDefault="00A92469" w:rsidP="007F046B"/>
        </w:tc>
        <w:tc>
          <w:tcPr>
            <w:tcW w:w="106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5E082C5" w14:textId="77777777" w:rsidR="00A92469" w:rsidRPr="00056BA3" w:rsidRDefault="00A92469" w:rsidP="007F046B">
            <w:pPr>
              <w:ind w:left="162"/>
              <w:rPr>
                <w:rFonts w:cs="Arial"/>
                <w:i/>
                <w:sz w:val="18"/>
                <w:szCs w:val="18"/>
              </w:rPr>
            </w:pPr>
          </w:p>
        </w:tc>
      </w:tr>
      <w:bookmarkEnd w:id="0"/>
    </w:tbl>
    <w:p w14:paraId="3996D91C" w14:textId="77777777" w:rsidR="00797715" w:rsidRDefault="00797715" w:rsidP="00784B9A"/>
    <w:sectPr w:rsidR="00797715" w:rsidSect="00B976A9">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05B4" w14:textId="77777777" w:rsidR="0027798F" w:rsidRDefault="0027798F" w:rsidP="00050298">
      <w:r>
        <w:separator/>
      </w:r>
    </w:p>
  </w:endnote>
  <w:endnote w:type="continuationSeparator" w:id="0">
    <w:p w14:paraId="51CB6BA9" w14:textId="77777777" w:rsidR="0027798F" w:rsidRDefault="0027798F" w:rsidP="0005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B5F1" w14:textId="77777777" w:rsidR="0027798F" w:rsidRDefault="0027798F" w:rsidP="00050298">
      <w:r>
        <w:separator/>
      </w:r>
    </w:p>
  </w:footnote>
  <w:footnote w:type="continuationSeparator" w:id="0">
    <w:p w14:paraId="1F614486" w14:textId="77777777" w:rsidR="0027798F" w:rsidRDefault="0027798F" w:rsidP="00050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B2C"/>
    <w:multiLevelType w:val="hybridMultilevel"/>
    <w:tmpl w:val="04A69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6E5578"/>
    <w:multiLevelType w:val="multilevel"/>
    <w:tmpl w:val="B0AEB6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u w:val="none" w:color="FFFFFF"/>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9D76445"/>
    <w:multiLevelType w:val="hybridMultilevel"/>
    <w:tmpl w:val="0D3E76A8"/>
    <w:lvl w:ilvl="0" w:tplc="04090001">
      <w:start w:val="1"/>
      <w:numFmt w:val="bullet"/>
      <w:lvlText w:val=""/>
      <w:lvlJc w:val="left"/>
      <w:pPr>
        <w:ind w:left="2162" w:hanging="360"/>
      </w:pPr>
      <w:rPr>
        <w:rFonts w:ascii="Symbol" w:hAnsi="Symbol" w:hint="default"/>
      </w:rPr>
    </w:lvl>
    <w:lvl w:ilvl="1" w:tplc="04090003" w:tentative="1">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3" w15:restartNumberingAfterBreak="0">
    <w:nsid w:val="2EF93FC8"/>
    <w:multiLevelType w:val="hybridMultilevel"/>
    <w:tmpl w:val="55D43FDE"/>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Symbol"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Symbol"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Symbol" w:hint="default"/>
      </w:rPr>
    </w:lvl>
    <w:lvl w:ilvl="8" w:tplc="04090005" w:tentative="1">
      <w:start w:val="1"/>
      <w:numFmt w:val="bullet"/>
      <w:lvlText w:val=""/>
      <w:lvlJc w:val="left"/>
      <w:pPr>
        <w:ind w:left="8208" w:hanging="360"/>
      </w:pPr>
      <w:rPr>
        <w:rFonts w:ascii="Wingdings" w:hAnsi="Wingdings" w:hint="default"/>
      </w:rPr>
    </w:lvl>
  </w:abstractNum>
  <w:abstractNum w:abstractNumId="4" w15:restartNumberingAfterBreak="0">
    <w:nsid w:val="48CB488D"/>
    <w:multiLevelType w:val="hybridMultilevel"/>
    <w:tmpl w:val="2B360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806954"/>
    <w:multiLevelType w:val="hybridMultilevel"/>
    <w:tmpl w:val="DD409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CE6F1C"/>
    <w:multiLevelType w:val="hybridMultilevel"/>
    <w:tmpl w:val="C5421632"/>
    <w:lvl w:ilvl="0" w:tplc="A50A0308">
      <w:start w:val="1"/>
      <w:numFmt w:val="decimal"/>
      <w:lvlText w:val="(%1)"/>
      <w:lvlJc w:val="left"/>
      <w:pPr>
        <w:ind w:left="1764" w:hanging="10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sDAxtjQ3NTWzNDVV0lEKTi0uzszPAykwrAUAtNT3OywAAAA="/>
  </w:docVars>
  <w:rsids>
    <w:rsidRoot w:val="005D0134"/>
    <w:rsid w:val="00050298"/>
    <w:rsid w:val="00056BA3"/>
    <w:rsid w:val="001502D5"/>
    <w:rsid w:val="001555E8"/>
    <w:rsid w:val="002746AF"/>
    <w:rsid w:val="0027798F"/>
    <w:rsid w:val="0028344A"/>
    <w:rsid w:val="002A42A0"/>
    <w:rsid w:val="004C6AB5"/>
    <w:rsid w:val="004E2DBD"/>
    <w:rsid w:val="00506397"/>
    <w:rsid w:val="005301FA"/>
    <w:rsid w:val="00541A66"/>
    <w:rsid w:val="00554C25"/>
    <w:rsid w:val="005573C3"/>
    <w:rsid w:val="005D0134"/>
    <w:rsid w:val="005E26BA"/>
    <w:rsid w:val="005F3893"/>
    <w:rsid w:val="006B0F69"/>
    <w:rsid w:val="0075512C"/>
    <w:rsid w:val="00784B9A"/>
    <w:rsid w:val="00797715"/>
    <w:rsid w:val="007F260E"/>
    <w:rsid w:val="007F4999"/>
    <w:rsid w:val="00833629"/>
    <w:rsid w:val="008870E4"/>
    <w:rsid w:val="008D5C3D"/>
    <w:rsid w:val="00970272"/>
    <w:rsid w:val="00A761AB"/>
    <w:rsid w:val="00A92469"/>
    <w:rsid w:val="00AF14C8"/>
    <w:rsid w:val="00AF2F65"/>
    <w:rsid w:val="00C56D80"/>
    <w:rsid w:val="00D51333"/>
    <w:rsid w:val="00DA6771"/>
    <w:rsid w:val="00F5591C"/>
    <w:rsid w:val="00F9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8B88"/>
  <w15:docId w15:val="{2F0DFD0F-66BC-47AA-B854-16A75670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3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13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0134"/>
    <w:pPr>
      <w:spacing w:after="0" w:line="240" w:lineRule="auto"/>
    </w:pPr>
    <w:rPr>
      <w:rFonts w:ascii="Arial" w:hAnsi="Arial"/>
    </w:rPr>
  </w:style>
  <w:style w:type="paragraph" w:styleId="ListParagraph">
    <w:name w:val="List Paragraph"/>
    <w:basedOn w:val="Normal"/>
    <w:uiPriority w:val="34"/>
    <w:qFormat/>
    <w:rsid w:val="00056BA3"/>
    <w:pPr>
      <w:ind w:left="720"/>
      <w:contextualSpacing/>
    </w:pPr>
  </w:style>
  <w:style w:type="paragraph" w:styleId="Header">
    <w:name w:val="header"/>
    <w:basedOn w:val="Normal"/>
    <w:link w:val="HeaderChar"/>
    <w:uiPriority w:val="99"/>
    <w:unhideWhenUsed/>
    <w:rsid w:val="00050298"/>
    <w:pPr>
      <w:tabs>
        <w:tab w:val="center" w:pos="4680"/>
        <w:tab w:val="right" w:pos="9360"/>
      </w:tabs>
    </w:pPr>
  </w:style>
  <w:style w:type="character" w:customStyle="1" w:styleId="HeaderChar">
    <w:name w:val="Header Char"/>
    <w:basedOn w:val="DefaultParagraphFont"/>
    <w:link w:val="Header"/>
    <w:uiPriority w:val="99"/>
    <w:rsid w:val="00050298"/>
    <w:rPr>
      <w:rFonts w:ascii="Arial" w:hAnsi="Arial"/>
    </w:rPr>
  </w:style>
  <w:style w:type="paragraph" w:styleId="Footer">
    <w:name w:val="footer"/>
    <w:basedOn w:val="Normal"/>
    <w:link w:val="FooterChar"/>
    <w:uiPriority w:val="99"/>
    <w:unhideWhenUsed/>
    <w:rsid w:val="00050298"/>
    <w:pPr>
      <w:tabs>
        <w:tab w:val="center" w:pos="4680"/>
        <w:tab w:val="right" w:pos="9360"/>
      </w:tabs>
    </w:pPr>
  </w:style>
  <w:style w:type="character" w:customStyle="1" w:styleId="FooterChar">
    <w:name w:val="Footer Char"/>
    <w:basedOn w:val="DefaultParagraphFont"/>
    <w:link w:val="Footer"/>
    <w:uiPriority w:val="99"/>
    <w:rsid w:val="000502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4CBB-179A-4F17-8A70-C58838EF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Sara DeBettencourt - TCCN</cp:lastModifiedBy>
  <cp:revision>3</cp:revision>
  <cp:lastPrinted>2016-07-04T12:35:00Z</cp:lastPrinted>
  <dcterms:created xsi:type="dcterms:W3CDTF">2016-10-04T18:02:00Z</dcterms:created>
  <dcterms:modified xsi:type="dcterms:W3CDTF">2019-09-11T20:48:00Z</dcterms:modified>
</cp:coreProperties>
</file>