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25" w:rsidRDefault="00F77D25" w:rsidP="007E61E4">
      <w:pPr>
        <w:pStyle w:val="NoSpacing"/>
        <w:jc w:val="center"/>
        <w:rPr>
          <w:rFonts w:ascii="Century Gothic" w:hAnsi="Century Gothic"/>
          <w:b/>
          <w:sz w:val="28"/>
          <w:szCs w:val="28"/>
          <w:u w:val="single"/>
        </w:rPr>
      </w:pPr>
      <w:r w:rsidRPr="00F77D25">
        <w:rPr>
          <w:rFonts w:ascii="Century Gothic" w:hAnsi="Century Gothic"/>
          <w:b/>
          <w:noProof/>
          <w:sz w:val="28"/>
          <w:szCs w:val="28"/>
        </w:rPr>
        <w:drawing>
          <wp:inline distT="0" distB="0" distL="0" distR="0">
            <wp:extent cx="760209" cy="7543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HC Inc logo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64" cy="771502"/>
                    </a:xfrm>
                    <a:prstGeom prst="rect">
                      <a:avLst/>
                    </a:prstGeom>
                  </pic:spPr>
                </pic:pic>
              </a:graphicData>
            </a:graphic>
          </wp:inline>
        </w:drawing>
      </w:r>
    </w:p>
    <w:p w:rsidR="00F77D25" w:rsidRPr="00937E90" w:rsidRDefault="00F77D25" w:rsidP="007E61E4">
      <w:pPr>
        <w:pStyle w:val="NoSpacing"/>
        <w:jc w:val="center"/>
        <w:rPr>
          <w:rFonts w:ascii="Century Gothic" w:hAnsi="Century Gothic"/>
          <w:b/>
          <w:sz w:val="18"/>
          <w:szCs w:val="18"/>
          <w:u w:val="single"/>
        </w:rPr>
      </w:pPr>
    </w:p>
    <w:p w:rsidR="007E61E4" w:rsidRPr="007E61E4" w:rsidRDefault="007E61E4" w:rsidP="007E61E4">
      <w:pPr>
        <w:pStyle w:val="NoSpacing"/>
        <w:jc w:val="center"/>
        <w:rPr>
          <w:rFonts w:ascii="Century Gothic" w:hAnsi="Century Gothic"/>
          <w:b/>
          <w:sz w:val="28"/>
          <w:szCs w:val="28"/>
          <w:u w:val="single"/>
        </w:rPr>
      </w:pPr>
      <w:r w:rsidRPr="007E61E4">
        <w:rPr>
          <w:rFonts w:ascii="Century Gothic" w:hAnsi="Century Gothic"/>
          <w:b/>
          <w:sz w:val="28"/>
          <w:szCs w:val="28"/>
          <w:u w:val="single"/>
        </w:rPr>
        <w:t>Record Retention Policy</w:t>
      </w:r>
    </w:p>
    <w:p w:rsidR="00937E90" w:rsidRDefault="00937E90" w:rsidP="007E61E4">
      <w:pPr>
        <w:pStyle w:val="NoSpacing"/>
        <w:rPr>
          <w:rFonts w:ascii="Century Gothic" w:hAnsi="Century Gothic"/>
          <w:b/>
          <w:u w:val="single"/>
        </w:rPr>
      </w:pPr>
    </w:p>
    <w:p w:rsidR="004D6C61" w:rsidRPr="00937E90" w:rsidRDefault="004D6C61" w:rsidP="007E61E4">
      <w:pPr>
        <w:pStyle w:val="NoSpacing"/>
        <w:rPr>
          <w:rFonts w:ascii="Century Gothic" w:hAnsi="Century Gothic"/>
          <w:b/>
          <w:sz w:val="22"/>
          <w:szCs w:val="22"/>
          <w:u w:val="single"/>
        </w:rPr>
      </w:pPr>
      <w:r w:rsidRPr="00937E90">
        <w:rPr>
          <w:rFonts w:ascii="Century Gothic" w:hAnsi="Century Gothic"/>
          <w:b/>
          <w:sz w:val="22"/>
          <w:szCs w:val="22"/>
          <w:u w:val="single"/>
        </w:rPr>
        <w:t>Introduction:</w:t>
      </w:r>
    </w:p>
    <w:p w:rsidR="004D6C61" w:rsidRPr="00937E90" w:rsidRDefault="004D6C61" w:rsidP="007E61E4">
      <w:pPr>
        <w:pStyle w:val="NoSpacing"/>
        <w:rPr>
          <w:rFonts w:ascii="Century Gothic" w:hAnsi="Century Gothic"/>
          <w:sz w:val="22"/>
          <w:szCs w:val="22"/>
        </w:rPr>
      </w:pPr>
      <w:r w:rsidRPr="00937E90">
        <w:rPr>
          <w:rFonts w:ascii="Century Gothic" w:hAnsi="Century Gothic"/>
          <w:sz w:val="22"/>
          <w:szCs w:val="22"/>
        </w:rPr>
        <w:t>Healthcare practices generate and maintain many different types of records including health records and business records.  Because of their important role, records need to be appropriately maintained and managed throughout their lifecycle – from creation to destruction.</w:t>
      </w:r>
      <w:r w:rsidR="008D5B30" w:rsidRPr="00937E90">
        <w:rPr>
          <w:rFonts w:ascii="Arial" w:hAnsi="Arial"/>
          <w:sz w:val="22"/>
          <w:szCs w:val="22"/>
        </w:rPr>
        <w:t xml:space="preserve"> </w:t>
      </w:r>
      <w:r w:rsidR="008D5B30" w:rsidRPr="00937E90">
        <w:rPr>
          <w:rFonts w:ascii="Century Gothic" w:hAnsi="Century Gothic"/>
          <w:sz w:val="22"/>
          <w:szCs w:val="22"/>
        </w:rPr>
        <w:t xml:space="preserve">The purpose of this policy is to ensure that necessary records and documents are adequately protected and maintained and to ensure that records that are no longer needed by St. Martin’s Healthcare (SMHC) or are of no value are discarded at the proper time.  </w:t>
      </w:r>
    </w:p>
    <w:p w:rsidR="008D5B30" w:rsidRPr="00937E90" w:rsidRDefault="008D5B30" w:rsidP="007E61E4">
      <w:pPr>
        <w:pStyle w:val="NoSpacing"/>
        <w:rPr>
          <w:rFonts w:ascii="Century Gothic" w:hAnsi="Century Gothic"/>
          <w:sz w:val="22"/>
          <w:szCs w:val="22"/>
        </w:rPr>
      </w:pPr>
    </w:p>
    <w:p w:rsidR="008D5B30" w:rsidRPr="00937E90" w:rsidRDefault="008D5B30" w:rsidP="007E61E4">
      <w:pPr>
        <w:pStyle w:val="NoSpacing"/>
        <w:rPr>
          <w:rFonts w:ascii="Century Gothic" w:hAnsi="Century Gothic"/>
          <w:b/>
          <w:sz w:val="22"/>
          <w:szCs w:val="22"/>
          <w:u w:val="single"/>
        </w:rPr>
      </w:pPr>
      <w:r w:rsidRPr="00937E90">
        <w:rPr>
          <w:rFonts w:ascii="Century Gothic" w:hAnsi="Century Gothic"/>
          <w:b/>
          <w:sz w:val="22"/>
          <w:szCs w:val="22"/>
          <w:u w:val="single"/>
        </w:rPr>
        <w:t>General:</w:t>
      </w:r>
    </w:p>
    <w:p w:rsidR="008D5B30" w:rsidRPr="00937E90" w:rsidRDefault="008D5B30" w:rsidP="008D5B30">
      <w:pPr>
        <w:pStyle w:val="NoSpacing"/>
        <w:ind w:left="720"/>
        <w:rPr>
          <w:rFonts w:ascii="Century Gothic" w:hAnsi="Century Gothic"/>
          <w:sz w:val="22"/>
          <w:szCs w:val="22"/>
        </w:rPr>
      </w:pPr>
      <w:r w:rsidRPr="00937E90">
        <w:rPr>
          <w:rFonts w:ascii="Century Gothic" w:hAnsi="Century Gothic"/>
          <w:sz w:val="22"/>
          <w:szCs w:val="22"/>
        </w:rPr>
        <w:t xml:space="preserve">1.  All records received by </w:t>
      </w:r>
      <w:r w:rsidR="00937E90">
        <w:rPr>
          <w:rFonts w:ascii="Century Gothic" w:hAnsi="Century Gothic"/>
          <w:sz w:val="22"/>
          <w:szCs w:val="22"/>
        </w:rPr>
        <w:t>SMHC</w:t>
      </w:r>
      <w:r w:rsidRPr="00937E90">
        <w:rPr>
          <w:rFonts w:ascii="Century Gothic" w:hAnsi="Century Gothic"/>
          <w:sz w:val="22"/>
          <w:szCs w:val="22"/>
        </w:rPr>
        <w:t xml:space="preserve"> are the property of </w:t>
      </w:r>
      <w:r w:rsidR="00937E90">
        <w:rPr>
          <w:rFonts w:ascii="Century Gothic" w:hAnsi="Century Gothic"/>
          <w:sz w:val="22"/>
          <w:szCs w:val="22"/>
        </w:rPr>
        <w:t>SMHC</w:t>
      </w:r>
      <w:r w:rsidRPr="00937E90">
        <w:rPr>
          <w:rFonts w:ascii="Century Gothic" w:hAnsi="Century Gothic"/>
          <w:sz w:val="22"/>
          <w:szCs w:val="22"/>
        </w:rPr>
        <w:t>.  No staff or board person has any personal or property right to the records even though he or she may have helped develop or compile the records.</w:t>
      </w:r>
    </w:p>
    <w:p w:rsidR="007036E3" w:rsidRPr="00937E90" w:rsidRDefault="008D5B30" w:rsidP="008D5B30">
      <w:pPr>
        <w:pStyle w:val="NoSpacing"/>
        <w:ind w:left="720"/>
        <w:rPr>
          <w:rFonts w:ascii="Century Gothic" w:hAnsi="Century Gothic"/>
          <w:sz w:val="22"/>
          <w:szCs w:val="22"/>
        </w:rPr>
      </w:pPr>
      <w:r w:rsidRPr="00937E90">
        <w:rPr>
          <w:rFonts w:ascii="Century Gothic" w:hAnsi="Century Gothic"/>
          <w:sz w:val="22"/>
          <w:szCs w:val="22"/>
        </w:rPr>
        <w:t>2. The unauthorized destruction, removal or use of such records fr</w:t>
      </w:r>
      <w:r w:rsidR="007036E3" w:rsidRPr="00937E90">
        <w:rPr>
          <w:rFonts w:ascii="Century Gothic" w:hAnsi="Century Gothic"/>
          <w:sz w:val="22"/>
          <w:szCs w:val="22"/>
        </w:rPr>
        <w:t xml:space="preserve">om the facility is prohibited. </w:t>
      </w:r>
    </w:p>
    <w:p w:rsidR="008D5B30" w:rsidRPr="00937E90" w:rsidRDefault="007036E3" w:rsidP="007036E3">
      <w:pPr>
        <w:pStyle w:val="NoSpacing"/>
        <w:ind w:left="1440"/>
        <w:rPr>
          <w:rFonts w:ascii="Century Gothic" w:hAnsi="Century Gothic"/>
          <w:sz w:val="22"/>
          <w:szCs w:val="22"/>
        </w:rPr>
      </w:pPr>
      <w:proofErr w:type="gramStart"/>
      <w:r w:rsidRPr="00937E90">
        <w:rPr>
          <w:rFonts w:ascii="Century Gothic" w:hAnsi="Century Gothic"/>
          <w:sz w:val="22"/>
          <w:szCs w:val="22"/>
        </w:rPr>
        <w:t xml:space="preserve">a.  </w:t>
      </w:r>
      <w:r w:rsidRPr="00937E90">
        <w:rPr>
          <w:rFonts w:ascii="Century Gothic" w:hAnsi="Century Gothic"/>
          <w:b/>
          <w:sz w:val="22"/>
          <w:szCs w:val="22"/>
        </w:rPr>
        <w:t>Exception</w:t>
      </w:r>
      <w:proofErr w:type="gramEnd"/>
      <w:r w:rsidRPr="00937E90">
        <w:rPr>
          <w:rFonts w:ascii="Century Gothic" w:hAnsi="Century Gothic"/>
          <w:b/>
          <w:sz w:val="22"/>
          <w:szCs w:val="22"/>
        </w:rPr>
        <w:t>:</w:t>
      </w:r>
      <w:r w:rsidRPr="00937E90">
        <w:rPr>
          <w:rFonts w:ascii="Century Gothic" w:hAnsi="Century Gothic"/>
          <w:sz w:val="22"/>
          <w:szCs w:val="22"/>
        </w:rPr>
        <w:t xml:space="preserve">  Charts may be taken out of the clinic to the clinic medical director or clinic dental director for chart reviews and audits and will promptly be returned.  It will be documented by the front office staff which charts are taken for review/audit and when they are returned.</w:t>
      </w:r>
    </w:p>
    <w:p w:rsidR="008D5B30" w:rsidRPr="00937E90" w:rsidRDefault="008D5B30" w:rsidP="008D5B30">
      <w:pPr>
        <w:pStyle w:val="NoSpacing"/>
        <w:ind w:left="720"/>
        <w:rPr>
          <w:rFonts w:ascii="Century Gothic" w:hAnsi="Century Gothic"/>
          <w:sz w:val="22"/>
          <w:szCs w:val="22"/>
        </w:rPr>
      </w:pPr>
      <w:r w:rsidRPr="00937E90">
        <w:rPr>
          <w:rFonts w:ascii="Century Gothic" w:hAnsi="Century Gothic"/>
          <w:sz w:val="22"/>
          <w:szCs w:val="22"/>
        </w:rPr>
        <w:t>3. No one may falsify or inappropriately alter information in any record or document.</w:t>
      </w:r>
    </w:p>
    <w:p w:rsidR="008D5B30" w:rsidRPr="00937E90" w:rsidRDefault="008D5B30" w:rsidP="007E61E4">
      <w:pPr>
        <w:pStyle w:val="NoSpacing"/>
        <w:rPr>
          <w:rFonts w:ascii="Century Gothic" w:hAnsi="Century Gothic"/>
          <w:b/>
          <w:sz w:val="22"/>
          <w:szCs w:val="22"/>
          <w:u w:val="single"/>
        </w:rPr>
      </w:pPr>
    </w:p>
    <w:p w:rsidR="007E61E4" w:rsidRPr="00937E90" w:rsidRDefault="008259BC" w:rsidP="007E61E4">
      <w:pPr>
        <w:pStyle w:val="NoSpacing"/>
        <w:rPr>
          <w:rFonts w:ascii="Century Gothic" w:hAnsi="Century Gothic"/>
          <w:b/>
          <w:sz w:val="22"/>
          <w:szCs w:val="22"/>
          <w:u w:val="single"/>
        </w:rPr>
      </w:pPr>
      <w:r w:rsidRPr="00937E90">
        <w:rPr>
          <w:rFonts w:ascii="Century Gothic" w:hAnsi="Century Gothic"/>
          <w:b/>
          <w:sz w:val="22"/>
          <w:szCs w:val="22"/>
          <w:u w:val="single"/>
        </w:rPr>
        <w:t>Patient</w:t>
      </w:r>
      <w:r w:rsidR="007E61E4" w:rsidRPr="00937E90">
        <w:rPr>
          <w:rFonts w:ascii="Century Gothic" w:hAnsi="Century Gothic"/>
          <w:b/>
          <w:sz w:val="22"/>
          <w:szCs w:val="22"/>
          <w:u w:val="single"/>
        </w:rPr>
        <w:t xml:space="preserve"> Records:</w:t>
      </w:r>
    </w:p>
    <w:p w:rsidR="007E61E4" w:rsidRPr="00937E90" w:rsidRDefault="007E61E4" w:rsidP="007E61E4">
      <w:pPr>
        <w:pStyle w:val="NoSpacing"/>
        <w:rPr>
          <w:rFonts w:ascii="Century Gothic" w:hAnsi="Century Gothic"/>
          <w:sz w:val="22"/>
          <w:szCs w:val="22"/>
        </w:rPr>
      </w:pPr>
    </w:p>
    <w:p w:rsidR="007E61E4" w:rsidRPr="00937E90" w:rsidRDefault="004D6C61" w:rsidP="007E61E4">
      <w:pPr>
        <w:pStyle w:val="NoSpacing"/>
        <w:rPr>
          <w:rFonts w:ascii="Century Gothic" w:hAnsi="Century Gothic"/>
          <w:sz w:val="22"/>
          <w:szCs w:val="22"/>
        </w:rPr>
      </w:pPr>
      <w:r w:rsidRPr="00937E90">
        <w:rPr>
          <w:rFonts w:ascii="Century Gothic" w:hAnsi="Century Gothic"/>
          <w:sz w:val="22"/>
          <w:szCs w:val="22"/>
        </w:rPr>
        <w:t>Patient health records are an important part of patient care.  They provide essential information, historical details about the course of care, and a record of services provided.  Accurate and thorough records may p</w:t>
      </w:r>
      <w:r w:rsidR="00937E90">
        <w:rPr>
          <w:rFonts w:ascii="Century Gothic" w:hAnsi="Century Gothic"/>
          <w:sz w:val="22"/>
          <w:szCs w:val="22"/>
        </w:rPr>
        <w:t>l</w:t>
      </w:r>
      <w:r w:rsidRPr="00937E90">
        <w:rPr>
          <w:rFonts w:ascii="Century Gothic" w:hAnsi="Century Gothic"/>
          <w:sz w:val="22"/>
          <w:szCs w:val="22"/>
        </w:rPr>
        <w:t xml:space="preserve">ay a crucial role in defending a malpractice claim.  </w:t>
      </w:r>
      <w:r w:rsidR="007E61E4" w:rsidRPr="00937E90">
        <w:rPr>
          <w:rFonts w:ascii="Century Gothic" w:hAnsi="Century Gothic"/>
          <w:sz w:val="22"/>
          <w:szCs w:val="22"/>
        </w:rPr>
        <w:t xml:space="preserve">Physicians have an obligation to retain patient records which may reasonably be of value to a patient. The following guidelines are offered to assist in meeting the ethical and legal obligations: </w:t>
      </w:r>
    </w:p>
    <w:p w:rsidR="00C90422" w:rsidRPr="00937E90" w:rsidRDefault="00C90422" w:rsidP="007E61E4">
      <w:pPr>
        <w:pStyle w:val="NoSpacing"/>
        <w:rPr>
          <w:rFonts w:ascii="Century Gothic" w:hAnsi="Century Gothic" w:cs="Arial"/>
          <w:color w:val="000000"/>
          <w:sz w:val="22"/>
          <w:szCs w:val="22"/>
          <w:shd w:val="clear" w:color="auto" w:fill="FFFFFF"/>
        </w:rPr>
      </w:pPr>
    </w:p>
    <w:p w:rsidR="007E61E4" w:rsidRPr="00937E90" w:rsidRDefault="00C90422" w:rsidP="00C90422">
      <w:pPr>
        <w:pStyle w:val="NoSpacing"/>
        <w:rPr>
          <w:rFonts w:ascii="Century Gothic" w:hAnsi="Century Gothic"/>
          <w:sz w:val="22"/>
          <w:szCs w:val="22"/>
        </w:rPr>
      </w:pPr>
      <w:r w:rsidRPr="00937E90">
        <w:rPr>
          <w:rFonts w:ascii="Century Gothic" w:hAnsi="Century Gothic" w:cs="Arial"/>
          <w:color w:val="000000"/>
          <w:sz w:val="22"/>
          <w:szCs w:val="22"/>
          <w:shd w:val="clear" w:color="auto" w:fill="FFFFFF"/>
        </w:rPr>
        <w:t>Indiana law (IC 16-39-7-1) requires all healthcare providers to maintain patients’ original health records for at least seven (7) years.</w:t>
      </w:r>
      <w:r w:rsidRPr="00937E90">
        <w:rPr>
          <w:rStyle w:val="apple-converted-space"/>
          <w:rFonts w:ascii="Century Gothic" w:hAnsi="Century Gothic" w:cs="Arial"/>
          <w:color w:val="000000"/>
          <w:sz w:val="22"/>
          <w:szCs w:val="22"/>
          <w:shd w:val="clear" w:color="auto" w:fill="FFFFFF"/>
        </w:rPr>
        <w:t> </w:t>
      </w:r>
      <w:r w:rsidR="004D6C61" w:rsidRPr="00937E90">
        <w:rPr>
          <w:rStyle w:val="apple-converted-space"/>
          <w:rFonts w:ascii="Century Gothic" w:hAnsi="Century Gothic" w:cs="Arial"/>
          <w:color w:val="000000"/>
          <w:sz w:val="22"/>
          <w:szCs w:val="22"/>
          <w:shd w:val="clear" w:color="auto" w:fill="FFFFFF"/>
        </w:rPr>
        <w:t xml:space="preserve"> Pediatric records</w:t>
      </w:r>
      <w:r w:rsidR="00A345E4" w:rsidRPr="00937E90">
        <w:rPr>
          <w:rStyle w:val="apple-converted-space"/>
          <w:rFonts w:ascii="Century Gothic" w:hAnsi="Century Gothic" w:cs="Arial"/>
          <w:color w:val="000000"/>
          <w:sz w:val="22"/>
          <w:szCs w:val="22"/>
          <w:shd w:val="clear" w:color="auto" w:fill="FFFFFF"/>
        </w:rPr>
        <w:t xml:space="preserve"> (minors) should be maintained at least through the seven (7) years after the child reaches the age of eighteen (18).</w:t>
      </w:r>
      <w:r w:rsidRPr="00937E90">
        <w:rPr>
          <w:rFonts w:ascii="Century Gothic" w:hAnsi="Century Gothic" w:cs="Arial"/>
          <w:color w:val="000000"/>
          <w:sz w:val="22"/>
          <w:szCs w:val="22"/>
        </w:rPr>
        <w:br/>
      </w:r>
    </w:p>
    <w:p w:rsidR="00C90422" w:rsidRPr="00937E90" w:rsidRDefault="00C90422" w:rsidP="00C90422">
      <w:pPr>
        <w:pStyle w:val="NoSpacing"/>
        <w:rPr>
          <w:rFonts w:ascii="Century Gothic" w:hAnsi="Century Gothic" w:cs="Arial"/>
          <w:color w:val="222222"/>
          <w:sz w:val="22"/>
          <w:szCs w:val="22"/>
          <w:shd w:val="clear" w:color="auto" w:fill="FFFFFF"/>
        </w:rPr>
      </w:pPr>
      <w:r w:rsidRPr="00937E90">
        <w:rPr>
          <w:rFonts w:ascii="Century Gothic" w:hAnsi="Century Gothic" w:cs="Arial"/>
          <w:color w:val="222222"/>
          <w:sz w:val="22"/>
          <w:szCs w:val="22"/>
          <w:shd w:val="clear" w:color="auto" w:fill="FFFFFF"/>
        </w:rPr>
        <w:t>Indiana has a specific statute of limitations for</w:t>
      </w:r>
      <w:r w:rsidRPr="00937E90">
        <w:rPr>
          <w:rStyle w:val="apple-converted-space"/>
          <w:rFonts w:ascii="Century Gothic" w:hAnsi="Century Gothic" w:cs="Arial"/>
          <w:color w:val="222222"/>
          <w:sz w:val="22"/>
          <w:szCs w:val="22"/>
          <w:shd w:val="clear" w:color="auto" w:fill="FFFFFF"/>
        </w:rPr>
        <w:t> </w:t>
      </w:r>
      <w:r w:rsidRPr="00937E90">
        <w:rPr>
          <w:rFonts w:ascii="Century Gothic" w:hAnsi="Century Gothic" w:cs="Arial"/>
          <w:bCs/>
          <w:color w:val="222222"/>
          <w:sz w:val="22"/>
          <w:szCs w:val="22"/>
          <w:shd w:val="clear" w:color="auto" w:fill="FFFFFF"/>
        </w:rPr>
        <w:t>medical malpractice lawsuits</w:t>
      </w:r>
      <w:r w:rsidRPr="00937E90">
        <w:rPr>
          <w:rFonts w:ascii="Century Gothic" w:hAnsi="Century Gothic" w:cs="Arial"/>
          <w:color w:val="222222"/>
          <w:sz w:val="22"/>
          <w:szCs w:val="22"/>
          <w:shd w:val="clear" w:color="auto" w:fill="FFFFFF"/>
        </w:rPr>
        <w:t>, and it can be found at Indiana Code section 34-18-7-1, which gives a potential medical malpractice plaintiff two years to get their</w:t>
      </w:r>
      <w:r w:rsidRPr="00937E90">
        <w:rPr>
          <w:rStyle w:val="apple-converted-space"/>
          <w:rFonts w:ascii="Century Gothic" w:hAnsi="Century Gothic" w:cs="Arial"/>
          <w:color w:val="222222"/>
          <w:sz w:val="22"/>
          <w:szCs w:val="22"/>
          <w:shd w:val="clear" w:color="auto" w:fill="FFFFFF"/>
        </w:rPr>
        <w:t> </w:t>
      </w:r>
      <w:r w:rsidRPr="00937E90">
        <w:rPr>
          <w:rFonts w:ascii="Century Gothic" w:hAnsi="Century Gothic" w:cs="Arial"/>
          <w:bCs/>
          <w:color w:val="222222"/>
          <w:sz w:val="22"/>
          <w:szCs w:val="22"/>
          <w:shd w:val="clear" w:color="auto" w:fill="FFFFFF"/>
        </w:rPr>
        <w:t>medical malpractice lawsuit</w:t>
      </w:r>
      <w:r w:rsidRPr="00937E90">
        <w:rPr>
          <w:rStyle w:val="apple-converted-space"/>
          <w:rFonts w:ascii="Century Gothic" w:hAnsi="Century Gothic" w:cs="Arial"/>
          <w:color w:val="222222"/>
          <w:sz w:val="22"/>
          <w:szCs w:val="22"/>
          <w:shd w:val="clear" w:color="auto" w:fill="FFFFFF"/>
        </w:rPr>
        <w:t> </w:t>
      </w:r>
      <w:r w:rsidRPr="00937E90">
        <w:rPr>
          <w:rFonts w:ascii="Century Gothic" w:hAnsi="Century Gothic" w:cs="Arial"/>
          <w:color w:val="222222"/>
          <w:sz w:val="22"/>
          <w:szCs w:val="22"/>
          <w:shd w:val="clear" w:color="auto" w:fill="FFFFFF"/>
        </w:rPr>
        <w:t>started.</w:t>
      </w:r>
    </w:p>
    <w:p w:rsidR="004D6C61" w:rsidRPr="00937E90" w:rsidRDefault="004D6C61" w:rsidP="00C90422">
      <w:pPr>
        <w:pStyle w:val="NoSpacing"/>
        <w:rPr>
          <w:rFonts w:ascii="Century Gothic" w:hAnsi="Century Gothic"/>
          <w:sz w:val="22"/>
          <w:szCs w:val="22"/>
        </w:rPr>
      </w:pPr>
    </w:p>
    <w:p w:rsidR="004D6C61" w:rsidRPr="00937E90" w:rsidRDefault="004D6C61" w:rsidP="004D6C61">
      <w:pPr>
        <w:pStyle w:val="NoSpacing"/>
        <w:rPr>
          <w:rFonts w:ascii="Century Gothic" w:hAnsi="Century Gothic"/>
          <w:sz w:val="22"/>
          <w:szCs w:val="22"/>
        </w:rPr>
      </w:pPr>
      <w:r w:rsidRPr="00937E90">
        <w:rPr>
          <w:rFonts w:ascii="Century Gothic" w:hAnsi="Century Gothic"/>
          <w:sz w:val="22"/>
          <w:szCs w:val="22"/>
        </w:rPr>
        <w:lastRenderedPageBreak/>
        <w:t>Records should be kept indefinitely in riskier situations, including where there is an undesirable outcome, where the patient was or might have been legally incompetent at the time of treatment or becomes legally competent thereafter (including cases involving brain damage, Alzheimer's Disease and other mental and emotional disabilities), when a patient is unhappy with a result or any time a patient threatens or files a lawsuit</w:t>
      </w:r>
      <w:r w:rsidR="00A345E4" w:rsidRPr="00937E90">
        <w:rPr>
          <w:rFonts w:ascii="Century Gothic" w:hAnsi="Century Gothic"/>
          <w:sz w:val="22"/>
          <w:szCs w:val="22"/>
        </w:rPr>
        <w:t>.</w:t>
      </w:r>
    </w:p>
    <w:p w:rsidR="004D6C61" w:rsidRPr="00937E90" w:rsidRDefault="004D6C61" w:rsidP="007E61E4">
      <w:pPr>
        <w:pStyle w:val="NoSpacing"/>
        <w:rPr>
          <w:rFonts w:ascii="Century Gothic" w:hAnsi="Century Gothic"/>
          <w:sz w:val="22"/>
          <w:szCs w:val="22"/>
        </w:rPr>
      </w:pPr>
    </w:p>
    <w:p w:rsidR="00A345E4" w:rsidRPr="00937E90" w:rsidRDefault="00A345E4" w:rsidP="007E61E4">
      <w:pPr>
        <w:pStyle w:val="NoSpacing"/>
        <w:rPr>
          <w:rFonts w:ascii="Century Gothic" w:hAnsi="Century Gothic"/>
          <w:b/>
          <w:sz w:val="22"/>
          <w:szCs w:val="22"/>
          <w:u w:val="single"/>
        </w:rPr>
      </w:pPr>
      <w:r w:rsidRPr="00937E90">
        <w:rPr>
          <w:rFonts w:ascii="Century Gothic" w:hAnsi="Century Gothic"/>
          <w:b/>
          <w:sz w:val="22"/>
          <w:szCs w:val="22"/>
          <w:u w:val="single"/>
        </w:rPr>
        <w:t>Destruction of Records:</w:t>
      </w:r>
    </w:p>
    <w:p w:rsidR="008D5B30" w:rsidRPr="00937E90" w:rsidRDefault="008D5B30" w:rsidP="008D5B30">
      <w:pPr>
        <w:pStyle w:val="NoSpacing"/>
        <w:rPr>
          <w:rFonts w:ascii="Century Gothic" w:hAnsi="Century Gothic"/>
          <w:sz w:val="22"/>
          <w:szCs w:val="22"/>
        </w:rPr>
      </w:pPr>
    </w:p>
    <w:p w:rsidR="008D5B30" w:rsidRPr="00937E90" w:rsidRDefault="008D5B30" w:rsidP="008D5B30">
      <w:pPr>
        <w:pStyle w:val="NoSpacing"/>
        <w:rPr>
          <w:rFonts w:ascii="Century Gothic" w:hAnsi="Century Gothic"/>
          <w:sz w:val="22"/>
          <w:szCs w:val="22"/>
        </w:rPr>
      </w:pPr>
      <w:r w:rsidRPr="00937E90">
        <w:rPr>
          <w:rFonts w:ascii="Century Gothic" w:hAnsi="Century Gothic"/>
          <w:sz w:val="22"/>
          <w:szCs w:val="22"/>
        </w:rPr>
        <w:t>Before discarding old records, patients should be given an opportunity to claim the records or have them sent to another physician, if it is feasible to give them the opportunity.</w:t>
      </w:r>
    </w:p>
    <w:p w:rsidR="008259BC" w:rsidRPr="00937E90" w:rsidRDefault="008259BC" w:rsidP="008D5B30">
      <w:pPr>
        <w:pStyle w:val="NoSpacing"/>
        <w:rPr>
          <w:rFonts w:ascii="Century Gothic" w:hAnsi="Century Gothic"/>
          <w:sz w:val="22"/>
          <w:szCs w:val="22"/>
        </w:rPr>
      </w:pPr>
    </w:p>
    <w:p w:rsidR="007E61E4" w:rsidRPr="00937E90" w:rsidRDefault="008259BC" w:rsidP="007E61E4">
      <w:pPr>
        <w:pStyle w:val="NoSpacing"/>
        <w:rPr>
          <w:rFonts w:ascii="Century Gothic" w:hAnsi="Century Gothic"/>
          <w:sz w:val="22"/>
          <w:szCs w:val="22"/>
        </w:rPr>
      </w:pPr>
      <w:r w:rsidRPr="00937E90">
        <w:rPr>
          <w:rFonts w:ascii="Century Gothic" w:hAnsi="Century Gothic"/>
          <w:sz w:val="22"/>
          <w:szCs w:val="22"/>
        </w:rPr>
        <w:t>Any confidential records to be destroyed including medical records and confidential financial or employee documents will be shredded, incinerated or destroyed through a commercial document destruction firm.</w:t>
      </w:r>
      <w:r w:rsidR="00A345E4" w:rsidRPr="00937E90">
        <w:rPr>
          <w:rFonts w:ascii="Century Gothic" w:hAnsi="Century Gothic"/>
          <w:sz w:val="22"/>
          <w:szCs w:val="22"/>
        </w:rPr>
        <w:t xml:space="preserve">  The method should ensure that the records are unreadable and unrecoverable.</w:t>
      </w:r>
    </w:p>
    <w:p w:rsidR="008259BC" w:rsidRPr="00937E90" w:rsidRDefault="008259BC" w:rsidP="007E61E4">
      <w:pPr>
        <w:pStyle w:val="NoSpacing"/>
        <w:rPr>
          <w:rFonts w:ascii="Century Gothic" w:hAnsi="Century Gothic"/>
          <w:b/>
          <w:sz w:val="22"/>
          <w:szCs w:val="22"/>
        </w:rPr>
      </w:pPr>
    </w:p>
    <w:p w:rsidR="004D6C61" w:rsidRPr="00937E90" w:rsidRDefault="00A345E4" w:rsidP="007E61E4">
      <w:pPr>
        <w:pStyle w:val="NoSpacing"/>
        <w:rPr>
          <w:rFonts w:ascii="Century Gothic" w:hAnsi="Century Gothic"/>
          <w:sz w:val="22"/>
          <w:szCs w:val="22"/>
        </w:rPr>
      </w:pPr>
      <w:r w:rsidRPr="00937E90">
        <w:rPr>
          <w:rFonts w:ascii="Century Gothic" w:hAnsi="Century Gothic"/>
          <w:sz w:val="22"/>
          <w:szCs w:val="22"/>
        </w:rPr>
        <w:t>Electronic records, like paper records, must be destroyed with a method that provides no possibility of reconstruction of information.  Destruction of electronic records may involve overwriting of electronic media, magnetic degaussing, pulverizing, incinerating, cutting etc.</w:t>
      </w:r>
    </w:p>
    <w:p w:rsidR="00A345E4" w:rsidRPr="00937E90" w:rsidRDefault="00A345E4" w:rsidP="007E61E4">
      <w:pPr>
        <w:pStyle w:val="NoSpacing"/>
        <w:rPr>
          <w:rFonts w:ascii="Century Gothic" w:hAnsi="Century Gothic"/>
          <w:sz w:val="22"/>
          <w:szCs w:val="22"/>
        </w:rPr>
      </w:pPr>
    </w:p>
    <w:p w:rsidR="00A345E4" w:rsidRPr="00937E90" w:rsidRDefault="00A345E4" w:rsidP="007E61E4">
      <w:pPr>
        <w:pStyle w:val="NoSpacing"/>
        <w:rPr>
          <w:rFonts w:ascii="Century Gothic" w:hAnsi="Century Gothic"/>
          <w:sz w:val="22"/>
          <w:szCs w:val="22"/>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FC00F9" w:rsidRDefault="00FC00F9" w:rsidP="007E61E4">
      <w:pPr>
        <w:pStyle w:val="NoSpacing"/>
        <w:rPr>
          <w:rFonts w:ascii="Century Gothic" w:hAnsi="Century Gothic"/>
        </w:rPr>
      </w:pPr>
    </w:p>
    <w:p w:rsidR="00937E90" w:rsidRDefault="00937E90" w:rsidP="007E61E4">
      <w:pPr>
        <w:pStyle w:val="NoSpacing"/>
        <w:rPr>
          <w:rFonts w:ascii="Century Gothic" w:hAnsi="Century Gothic"/>
        </w:rPr>
      </w:pPr>
    </w:p>
    <w:p w:rsidR="00937E90" w:rsidRDefault="00937E90" w:rsidP="007E61E4">
      <w:pPr>
        <w:pStyle w:val="NoSpacing"/>
        <w:rPr>
          <w:rFonts w:ascii="Century Gothic" w:hAnsi="Century Gothic"/>
        </w:rPr>
      </w:pPr>
    </w:p>
    <w:p w:rsidR="00937E90" w:rsidRDefault="00937E90" w:rsidP="007E61E4">
      <w:pPr>
        <w:pStyle w:val="NoSpacing"/>
        <w:rPr>
          <w:rFonts w:ascii="Century Gothic" w:hAnsi="Century Gothic"/>
        </w:rPr>
      </w:pPr>
    </w:p>
    <w:p w:rsidR="00937E90" w:rsidRDefault="00937E90" w:rsidP="007E61E4">
      <w:pPr>
        <w:pStyle w:val="NoSpacing"/>
        <w:rPr>
          <w:rFonts w:ascii="Century Gothic" w:hAnsi="Century Gothic"/>
        </w:rPr>
      </w:pPr>
    </w:p>
    <w:p w:rsidR="00FC00F9" w:rsidRDefault="00FC00F9" w:rsidP="007E61E4">
      <w:pPr>
        <w:pStyle w:val="NoSpacing"/>
        <w:rPr>
          <w:rFonts w:ascii="Century Gothic" w:hAnsi="Century Gothic"/>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5017"/>
        <w:gridCol w:w="2070"/>
      </w:tblGrid>
      <w:tr w:rsidR="00FC00F9" w:rsidRPr="00FC00F9" w:rsidTr="00FC00F9">
        <w:tc>
          <w:tcPr>
            <w:tcW w:w="2723" w:type="dxa"/>
            <w:shd w:val="clear" w:color="auto" w:fill="auto"/>
          </w:tcPr>
          <w:p w:rsidR="00FC00F9" w:rsidRPr="00FC00F9" w:rsidRDefault="00FC00F9" w:rsidP="008D02F1">
            <w:pPr>
              <w:jc w:val="center"/>
              <w:rPr>
                <w:rFonts w:ascii="Century Gothic" w:hAnsi="Century Gothic"/>
                <w:b/>
              </w:rPr>
            </w:pPr>
            <w:bookmarkStart w:id="0" w:name="retention"/>
            <w:bookmarkEnd w:id="0"/>
            <w:r w:rsidRPr="00FC00F9">
              <w:rPr>
                <w:rFonts w:ascii="Century Gothic" w:hAnsi="Century Gothic"/>
                <w:b/>
              </w:rPr>
              <w:lastRenderedPageBreak/>
              <w:t>File Category</w:t>
            </w:r>
          </w:p>
        </w:tc>
        <w:tc>
          <w:tcPr>
            <w:tcW w:w="5017" w:type="dxa"/>
            <w:shd w:val="clear" w:color="auto" w:fill="auto"/>
          </w:tcPr>
          <w:p w:rsidR="00FC00F9" w:rsidRPr="00FC00F9" w:rsidRDefault="00FC00F9" w:rsidP="008D02F1">
            <w:pPr>
              <w:jc w:val="center"/>
              <w:rPr>
                <w:rFonts w:ascii="Century Gothic" w:hAnsi="Century Gothic"/>
                <w:b/>
              </w:rPr>
            </w:pPr>
            <w:r w:rsidRPr="00FC00F9">
              <w:rPr>
                <w:rFonts w:ascii="Century Gothic" w:hAnsi="Century Gothic"/>
                <w:b/>
              </w:rPr>
              <w:t>Item</w:t>
            </w:r>
          </w:p>
        </w:tc>
        <w:tc>
          <w:tcPr>
            <w:tcW w:w="2070" w:type="dxa"/>
            <w:shd w:val="clear" w:color="auto" w:fill="auto"/>
          </w:tcPr>
          <w:p w:rsidR="00FC00F9" w:rsidRPr="00FC00F9" w:rsidRDefault="00FC00F9" w:rsidP="008D02F1">
            <w:pPr>
              <w:jc w:val="center"/>
              <w:rPr>
                <w:rFonts w:ascii="Century Gothic" w:hAnsi="Century Gothic"/>
                <w:b/>
              </w:rPr>
            </w:pPr>
            <w:r w:rsidRPr="00FC00F9">
              <w:rPr>
                <w:rFonts w:ascii="Century Gothic" w:hAnsi="Century Gothic"/>
                <w:b/>
              </w:rPr>
              <w:t>Retention Period</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r w:rsidRPr="00FC00F9">
              <w:rPr>
                <w:rFonts w:ascii="Century Gothic" w:hAnsi="Century Gothic"/>
                <w:b/>
              </w:rPr>
              <w:t>Communications</w:t>
            </w: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Press Releases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Annual reports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Permanent </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Other publications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r>
              <w:rPr>
                <w:rFonts w:ascii="Century Gothic" w:hAnsi="Century Gothic"/>
                <w:b/>
              </w:rPr>
              <w:t>Consulting Services</w:t>
            </w:r>
          </w:p>
        </w:tc>
        <w:tc>
          <w:tcPr>
            <w:tcW w:w="5017" w:type="dxa"/>
            <w:shd w:val="clear" w:color="auto" w:fill="auto"/>
          </w:tcPr>
          <w:p w:rsidR="008259BC" w:rsidRPr="00F02C18" w:rsidRDefault="008259BC" w:rsidP="008259BC">
            <w:pPr>
              <w:rPr>
                <w:rFonts w:ascii="Century Gothic" w:hAnsi="Century Gothic"/>
              </w:rPr>
            </w:pPr>
            <w:r>
              <w:rPr>
                <w:rFonts w:ascii="Century Gothic" w:hAnsi="Century Gothic"/>
              </w:rPr>
              <w:t>Consulting Contracts Filed</w:t>
            </w:r>
          </w:p>
        </w:tc>
        <w:tc>
          <w:tcPr>
            <w:tcW w:w="2070" w:type="dxa"/>
            <w:shd w:val="clear" w:color="auto" w:fill="auto"/>
          </w:tcPr>
          <w:p w:rsidR="008259BC" w:rsidRPr="00F02C18" w:rsidRDefault="008259BC" w:rsidP="008259BC">
            <w:pPr>
              <w:rPr>
                <w:rFonts w:ascii="Century Gothic" w:hAnsi="Century Gothic"/>
              </w:rPr>
            </w:pPr>
            <w:r w:rsidRPr="00F02C18">
              <w:rPr>
                <w:rFonts w:ascii="Century Gothic" w:hAnsi="Century Gothic"/>
              </w:rPr>
              <w:t>7 years after all obligations end</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r w:rsidRPr="00FC00F9">
              <w:rPr>
                <w:rFonts w:ascii="Century Gothic" w:hAnsi="Century Gothic"/>
                <w:b/>
              </w:rPr>
              <w:t>Corporate Records</w:t>
            </w: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By Laws and Articles of </w:t>
            </w:r>
            <w:r>
              <w:rPr>
                <w:rFonts w:ascii="Century Gothic" w:hAnsi="Century Gothic"/>
              </w:rPr>
              <w:t>I</w:t>
            </w:r>
            <w:r w:rsidRPr="00FC00F9">
              <w:rPr>
                <w:rFonts w:ascii="Century Gothic" w:hAnsi="Century Gothic"/>
              </w:rPr>
              <w:t>ncorporation</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Corporate Resolutions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Board and committee meeting agendas and minutes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Charitable organization statements filed with Attorney General</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Conflict of Interest Disclosure Forms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4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r>
              <w:rPr>
                <w:rFonts w:ascii="Century Gothic" w:hAnsi="Century Gothic"/>
                <w:b/>
              </w:rPr>
              <w:t>Equipment</w:t>
            </w:r>
          </w:p>
        </w:tc>
        <w:tc>
          <w:tcPr>
            <w:tcW w:w="5017" w:type="dxa"/>
            <w:shd w:val="clear" w:color="auto" w:fill="auto"/>
          </w:tcPr>
          <w:p w:rsidR="008259BC" w:rsidRPr="00FC00F9" w:rsidRDefault="008259BC" w:rsidP="008259BC">
            <w:pPr>
              <w:rPr>
                <w:rFonts w:ascii="Century Gothic" w:hAnsi="Century Gothic"/>
              </w:rPr>
            </w:pPr>
            <w:r>
              <w:rPr>
                <w:rFonts w:ascii="Century Gothic" w:hAnsi="Century Gothic"/>
              </w:rPr>
              <w:t>Equipment Maintenance Records</w:t>
            </w:r>
          </w:p>
        </w:tc>
        <w:tc>
          <w:tcPr>
            <w:tcW w:w="2070" w:type="dxa"/>
            <w:shd w:val="clear" w:color="auto" w:fill="auto"/>
          </w:tcPr>
          <w:p w:rsidR="008259BC" w:rsidRPr="00FC00F9" w:rsidRDefault="008259BC" w:rsidP="008259BC">
            <w:pPr>
              <w:rPr>
                <w:rFonts w:ascii="Century Gothic" w:hAnsi="Century Gothic"/>
              </w:rPr>
            </w:pPr>
            <w:r>
              <w:rPr>
                <w:rFonts w:ascii="Century Gothic" w:hAnsi="Century Gothic"/>
              </w:rPr>
              <w:t>10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Pr>
                <w:rFonts w:ascii="Century Gothic" w:hAnsi="Century Gothic"/>
              </w:rPr>
              <w:t>Sterilization Records</w:t>
            </w:r>
          </w:p>
        </w:tc>
        <w:tc>
          <w:tcPr>
            <w:tcW w:w="2070" w:type="dxa"/>
            <w:shd w:val="clear" w:color="auto" w:fill="auto"/>
          </w:tcPr>
          <w:p w:rsidR="008259BC" w:rsidRPr="00FC00F9" w:rsidRDefault="008259BC" w:rsidP="008259BC">
            <w:pPr>
              <w:rPr>
                <w:rFonts w:ascii="Century Gothic" w:hAnsi="Century Gothic"/>
              </w:rPr>
            </w:pPr>
            <w:r>
              <w:rPr>
                <w:rFonts w:ascii="Century Gothic" w:hAnsi="Century Gothic"/>
              </w:rPr>
              <w:t>10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r w:rsidRPr="00FC00F9">
              <w:rPr>
                <w:rFonts w:ascii="Century Gothic" w:hAnsi="Century Gothic"/>
                <w:b/>
              </w:rPr>
              <w:t>Finance and Admin</w:t>
            </w: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Audited Financial Statements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Auditor management letters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Payroll </w:t>
            </w:r>
            <w:r>
              <w:rPr>
                <w:rFonts w:ascii="Century Gothic" w:hAnsi="Century Gothic"/>
              </w:rPr>
              <w:t>R</w:t>
            </w:r>
            <w:r w:rsidRPr="00FC00F9">
              <w:rPr>
                <w:rFonts w:ascii="Century Gothic" w:hAnsi="Century Gothic"/>
              </w:rPr>
              <w:t>ecords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Journal </w:t>
            </w:r>
            <w:r>
              <w:rPr>
                <w:rFonts w:ascii="Century Gothic" w:hAnsi="Century Gothic"/>
              </w:rPr>
              <w:t>E</w:t>
            </w:r>
            <w:r w:rsidRPr="00FC00F9">
              <w:rPr>
                <w:rFonts w:ascii="Century Gothic" w:hAnsi="Century Gothic"/>
              </w:rPr>
              <w:t>ntries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Check Register </w:t>
            </w:r>
          </w:p>
        </w:tc>
        <w:tc>
          <w:tcPr>
            <w:tcW w:w="2070" w:type="dxa"/>
            <w:shd w:val="clear" w:color="auto" w:fill="auto"/>
          </w:tcPr>
          <w:p w:rsidR="008259BC" w:rsidRPr="00FC00F9" w:rsidRDefault="008259BC" w:rsidP="008259BC">
            <w:pPr>
              <w:rPr>
                <w:rFonts w:ascii="Century Gothic" w:hAnsi="Century Gothic"/>
              </w:rPr>
            </w:pPr>
            <w:r>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Pr>
                <w:rFonts w:ascii="Century Gothic" w:hAnsi="Century Gothic"/>
              </w:rPr>
              <w:t>Balance Sheets &amp; Profit/Loss</w:t>
            </w:r>
          </w:p>
        </w:tc>
        <w:tc>
          <w:tcPr>
            <w:tcW w:w="2070" w:type="dxa"/>
            <w:shd w:val="clear" w:color="auto" w:fill="auto"/>
          </w:tcPr>
          <w:p w:rsidR="008259BC" w:rsidRPr="00FC00F9" w:rsidRDefault="008259BC" w:rsidP="008259BC">
            <w:pPr>
              <w:rPr>
                <w:rFonts w:ascii="Century Gothic" w:hAnsi="Century Gothic"/>
              </w:rPr>
            </w:pPr>
            <w:r>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Bank </w:t>
            </w:r>
            <w:r>
              <w:rPr>
                <w:rFonts w:ascii="Century Gothic" w:hAnsi="Century Gothic"/>
              </w:rPr>
              <w:t>S</w:t>
            </w:r>
            <w:r w:rsidRPr="00FC00F9">
              <w:rPr>
                <w:rFonts w:ascii="Century Gothic" w:hAnsi="Century Gothic"/>
              </w:rPr>
              <w:t>tatements</w:t>
            </w:r>
            <w:r>
              <w:rPr>
                <w:rFonts w:ascii="Century Gothic" w:hAnsi="Century Gothic"/>
              </w:rPr>
              <w:t xml:space="preserve"> and Cancelled Checks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Chart of </w:t>
            </w:r>
            <w:r>
              <w:rPr>
                <w:rFonts w:ascii="Century Gothic" w:hAnsi="Century Gothic"/>
              </w:rPr>
              <w:t>A</w:t>
            </w:r>
            <w:r w:rsidRPr="00FC00F9">
              <w:rPr>
                <w:rFonts w:ascii="Century Gothic" w:hAnsi="Century Gothic"/>
              </w:rPr>
              <w:t>ccounts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Expense </w:t>
            </w:r>
            <w:r>
              <w:rPr>
                <w:rFonts w:ascii="Century Gothic" w:hAnsi="Century Gothic"/>
              </w:rPr>
              <w:t>R</w:t>
            </w:r>
            <w:r w:rsidRPr="00FC00F9">
              <w:rPr>
                <w:rFonts w:ascii="Century Gothic" w:hAnsi="Century Gothic"/>
              </w:rPr>
              <w:t>eports</w:t>
            </w:r>
            <w:r>
              <w:rPr>
                <w:rFonts w:ascii="Century Gothic" w:hAnsi="Century Gothic"/>
              </w:rPr>
              <w:t xml:space="preserve"> &amp; Petty Cash Records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General ledgers and journals (including bank reconciliations, fund accounting by month, payouts, allocations, trust statements)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Accounts </w:t>
            </w:r>
            <w:r>
              <w:rPr>
                <w:rFonts w:ascii="Century Gothic" w:hAnsi="Century Gothic"/>
              </w:rPr>
              <w:t>Payable L</w:t>
            </w:r>
            <w:r w:rsidRPr="00FC00F9">
              <w:rPr>
                <w:rFonts w:ascii="Century Gothic" w:hAnsi="Century Gothic"/>
              </w:rPr>
              <w:t>edger</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Investment performance reports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Equipment files </w:t>
            </w:r>
            <w:r>
              <w:rPr>
                <w:rFonts w:ascii="Century Gothic" w:hAnsi="Century Gothic"/>
              </w:rPr>
              <w:t>&amp;</w:t>
            </w:r>
            <w:r w:rsidRPr="00FC00F9">
              <w:rPr>
                <w:rFonts w:ascii="Century Gothic" w:hAnsi="Century Gothic"/>
              </w:rPr>
              <w:t xml:space="preserve"> maintenance records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 after disposition</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Contracts and agreements</w:t>
            </w:r>
          </w:p>
        </w:tc>
        <w:tc>
          <w:tcPr>
            <w:tcW w:w="2070" w:type="dxa"/>
            <w:shd w:val="clear" w:color="auto" w:fill="auto"/>
          </w:tcPr>
          <w:p w:rsidR="008259BC" w:rsidRPr="00FC00F9" w:rsidRDefault="008259BC" w:rsidP="008259BC">
            <w:pPr>
              <w:rPr>
                <w:rFonts w:ascii="Century Gothic" w:hAnsi="Century Gothic"/>
              </w:rPr>
            </w:pPr>
            <w:r>
              <w:rPr>
                <w:rFonts w:ascii="Century Gothic" w:hAnsi="Century Gothic"/>
              </w:rPr>
              <w:t>Permanent</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Correspondence - general</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3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r w:rsidRPr="00FC00F9">
              <w:rPr>
                <w:rFonts w:ascii="Century Gothic" w:hAnsi="Century Gothic"/>
                <w:b/>
              </w:rPr>
              <w:t xml:space="preserve">General Administration </w:t>
            </w: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Correspondence – chief executive and general</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r w:rsidRPr="00FC00F9">
              <w:rPr>
                <w:rFonts w:ascii="Century Gothic" w:hAnsi="Century Gothic"/>
                <w:b/>
              </w:rPr>
              <w:t>Grant Records</w:t>
            </w: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Original grant proposal</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 xml:space="preserve">7 years after completion of funded program </w:t>
            </w:r>
          </w:p>
        </w:tc>
      </w:tr>
      <w:tr w:rsidR="008259BC" w:rsidRPr="00FC00F9" w:rsidTr="00FB16DE">
        <w:trPr>
          <w:trHeight w:val="764"/>
        </w:trPr>
        <w:tc>
          <w:tcPr>
            <w:tcW w:w="2723" w:type="dxa"/>
            <w:shd w:val="clear" w:color="auto" w:fill="auto"/>
          </w:tcPr>
          <w:p w:rsidR="008259BC" w:rsidRPr="00FB16DE" w:rsidRDefault="00FB16DE" w:rsidP="00FB16DE">
            <w:pPr>
              <w:jc w:val="center"/>
              <w:rPr>
                <w:rFonts w:ascii="Century Gothic" w:hAnsi="Century Gothic"/>
                <w:b/>
              </w:rPr>
            </w:pPr>
            <w:r w:rsidRPr="00FB16DE">
              <w:rPr>
                <w:rFonts w:ascii="Century Gothic" w:hAnsi="Century Gothic"/>
                <w:b/>
              </w:rPr>
              <w:lastRenderedPageBreak/>
              <w:t>File Category</w:t>
            </w:r>
          </w:p>
        </w:tc>
        <w:tc>
          <w:tcPr>
            <w:tcW w:w="5017" w:type="dxa"/>
            <w:shd w:val="clear" w:color="auto" w:fill="auto"/>
          </w:tcPr>
          <w:p w:rsidR="008259BC" w:rsidRPr="00FB16DE" w:rsidRDefault="00FB16DE" w:rsidP="00FB16DE">
            <w:pPr>
              <w:jc w:val="center"/>
              <w:rPr>
                <w:rFonts w:ascii="Century Gothic" w:hAnsi="Century Gothic"/>
                <w:b/>
              </w:rPr>
            </w:pPr>
            <w:r w:rsidRPr="00FB16DE">
              <w:rPr>
                <w:rFonts w:ascii="Century Gothic" w:hAnsi="Century Gothic"/>
                <w:b/>
              </w:rPr>
              <w:t>Item</w:t>
            </w:r>
          </w:p>
        </w:tc>
        <w:tc>
          <w:tcPr>
            <w:tcW w:w="2070" w:type="dxa"/>
            <w:shd w:val="clear" w:color="auto" w:fill="auto"/>
          </w:tcPr>
          <w:p w:rsidR="00FB16DE" w:rsidRPr="00FB16DE" w:rsidRDefault="00FB16DE" w:rsidP="00FB16DE">
            <w:pPr>
              <w:jc w:val="center"/>
              <w:rPr>
                <w:rFonts w:ascii="Century Gothic" w:hAnsi="Century Gothic"/>
                <w:b/>
              </w:rPr>
            </w:pPr>
            <w:r w:rsidRPr="00FB16DE">
              <w:rPr>
                <w:rFonts w:ascii="Century Gothic" w:hAnsi="Century Gothic"/>
                <w:b/>
              </w:rPr>
              <w:t>Retention Period</w:t>
            </w:r>
          </w:p>
        </w:tc>
      </w:tr>
      <w:tr w:rsidR="00FB16DE" w:rsidRPr="00FC00F9" w:rsidTr="00FC00F9">
        <w:tc>
          <w:tcPr>
            <w:tcW w:w="2723" w:type="dxa"/>
            <w:shd w:val="clear" w:color="auto" w:fill="auto"/>
          </w:tcPr>
          <w:p w:rsidR="00FB16DE" w:rsidRPr="00FC00F9" w:rsidRDefault="00FB16DE" w:rsidP="008259BC">
            <w:pPr>
              <w:rPr>
                <w:rFonts w:ascii="Century Gothic" w:hAnsi="Century Gothic"/>
                <w:b/>
              </w:rPr>
            </w:pPr>
          </w:p>
        </w:tc>
        <w:tc>
          <w:tcPr>
            <w:tcW w:w="5017" w:type="dxa"/>
            <w:shd w:val="clear" w:color="auto" w:fill="auto"/>
          </w:tcPr>
          <w:p w:rsidR="00FB16DE" w:rsidRPr="00FC00F9" w:rsidRDefault="00FB16DE" w:rsidP="008259BC">
            <w:pPr>
              <w:rPr>
                <w:rFonts w:ascii="Century Gothic" w:hAnsi="Century Gothic"/>
              </w:rPr>
            </w:pPr>
            <w:r w:rsidRPr="00FC00F9">
              <w:rPr>
                <w:rFonts w:ascii="Century Gothic" w:hAnsi="Century Gothic"/>
              </w:rPr>
              <w:t>Grant agreements</w:t>
            </w:r>
          </w:p>
        </w:tc>
        <w:tc>
          <w:tcPr>
            <w:tcW w:w="2070" w:type="dxa"/>
            <w:shd w:val="clear" w:color="auto" w:fill="auto"/>
          </w:tcPr>
          <w:p w:rsidR="00FB16DE" w:rsidRPr="00FC00F9" w:rsidRDefault="00FB16DE" w:rsidP="008259BC">
            <w:pPr>
              <w:rPr>
                <w:rFonts w:ascii="Century Gothic" w:hAnsi="Century Gothic"/>
              </w:rPr>
            </w:pPr>
            <w:r w:rsidRPr="00FC00F9">
              <w:rPr>
                <w:rFonts w:ascii="Century Gothic" w:hAnsi="Century Gothic"/>
              </w:rPr>
              <w:t>7 years after completion of funded program</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Final grantee reports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 after completion of funded program</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All evidence of returned grant funds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 after completion of funded program</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Documentation relating to grantee evidence of invoices and matching or challenge grants that would support grantee compliance</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 after completion of funded program</w:t>
            </w:r>
          </w:p>
        </w:tc>
      </w:tr>
      <w:tr w:rsidR="008259BC" w:rsidRPr="00FC00F9" w:rsidTr="00FC00F9">
        <w:tc>
          <w:tcPr>
            <w:tcW w:w="2723" w:type="dxa"/>
            <w:shd w:val="clear" w:color="auto" w:fill="auto"/>
          </w:tcPr>
          <w:p w:rsidR="008259BC" w:rsidRPr="00FC00F9" w:rsidRDefault="008259BC" w:rsidP="008259BC">
            <w:pPr>
              <w:rPr>
                <w:rFonts w:ascii="Century Gothic" w:hAnsi="Century Gothic"/>
                <w:b/>
              </w:rPr>
            </w:pPr>
          </w:p>
        </w:tc>
        <w:tc>
          <w:tcPr>
            <w:tcW w:w="5017" w:type="dxa"/>
            <w:shd w:val="clear" w:color="auto" w:fill="auto"/>
          </w:tcPr>
          <w:p w:rsidR="008259BC" w:rsidRPr="00FC00F9" w:rsidRDefault="008259BC" w:rsidP="008259BC">
            <w:pPr>
              <w:rPr>
                <w:rFonts w:ascii="Century Gothic" w:hAnsi="Century Gothic"/>
              </w:rPr>
            </w:pPr>
            <w:r w:rsidRPr="00FC00F9">
              <w:rPr>
                <w:rFonts w:ascii="Century Gothic" w:hAnsi="Century Gothic"/>
              </w:rPr>
              <w:t>Grantee work produced with grant funds</w:t>
            </w:r>
          </w:p>
        </w:tc>
        <w:tc>
          <w:tcPr>
            <w:tcW w:w="2070" w:type="dxa"/>
            <w:shd w:val="clear" w:color="auto" w:fill="auto"/>
          </w:tcPr>
          <w:p w:rsidR="008259BC" w:rsidRPr="00FC00F9" w:rsidRDefault="008259BC" w:rsidP="008259BC">
            <w:pPr>
              <w:rPr>
                <w:rFonts w:ascii="Century Gothic" w:hAnsi="Century Gothic"/>
              </w:rPr>
            </w:pPr>
            <w:r w:rsidRPr="00FC00F9">
              <w:rPr>
                <w:rFonts w:ascii="Century Gothic" w:hAnsi="Century Gothic"/>
              </w:rPr>
              <w:t>7 years after completion of funded program</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r w:rsidRPr="00FC00F9">
              <w:rPr>
                <w:rFonts w:ascii="Century Gothic" w:hAnsi="Century Gothic"/>
                <w:b/>
              </w:rPr>
              <w:t>Human Resources</w:t>
            </w: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Employee</w:t>
            </w:r>
            <w:r>
              <w:rPr>
                <w:rFonts w:ascii="Century Gothic" w:hAnsi="Century Gothic"/>
              </w:rPr>
              <w:t xml:space="preserve"> &amp; Volunteer</w:t>
            </w:r>
            <w:r w:rsidRPr="00FC00F9">
              <w:rPr>
                <w:rFonts w:ascii="Century Gothic" w:hAnsi="Century Gothic"/>
              </w:rPr>
              <w:t xml:space="preserve"> personnel files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 xml:space="preserve">Permanent </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r w:rsidRPr="00FC00F9">
              <w:rPr>
                <w:rFonts w:ascii="Century Gothic" w:hAnsi="Century Gothic"/>
                <w:b/>
              </w:rPr>
              <w:t>(currently held at Staff Management)</w:t>
            </w: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Employee medical records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Permanent</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Employee handbooks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Permanent</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Worker’s comp claims (after settlement)</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Employee orientation and training materials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 after use ends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Employee offer letter</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 after all obligation ends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Employment applications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3 years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IRS Form I-9 (store separate from personnel file)</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Greater of 1 year after service ends, or 3 years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Pr>
                <w:rFonts w:ascii="Century Gothic" w:hAnsi="Century Gothic"/>
              </w:rPr>
              <w:t>Attendance Records</w:t>
            </w:r>
          </w:p>
        </w:tc>
        <w:tc>
          <w:tcPr>
            <w:tcW w:w="2070" w:type="dxa"/>
            <w:shd w:val="clear" w:color="auto" w:fill="auto"/>
          </w:tcPr>
          <w:p w:rsidR="00586862" w:rsidRPr="00FC00F9" w:rsidRDefault="00586862" w:rsidP="00586862">
            <w:pPr>
              <w:rPr>
                <w:rFonts w:ascii="Century Gothic" w:hAnsi="Century Gothic"/>
              </w:rPr>
            </w:pPr>
            <w:r>
              <w:rPr>
                <w:rFonts w:ascii="Century Gothic" w:hAnsi="Century Gothic"/>
              </w:rPr>
              <w:t>7 years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Pr>
                <w:rFonts w:ascii="Century Gothic" w:hAnsi="Century Gothic"/>
              </w:rPr>
              <w:t>Garnishments</w:t>
            </w:r>
          </w:p>
        </w:tc>
        <w:tc>
          <w:tcPr>
            <w:tcW w:w="2070" w:type="dxa"/>
            <w:shd w:val="clear" w:color="auto" w:fill="auto"/>
          </w:tcPr>
          <w:p w:rsidR="00586862" w:rsidRPr="00FC00F9" w:rsidRDefault="00586862" w:rsidP="00586862">
            <w:pPr>
              <w:rPr>
                <w:rFonts w:ascii="Century Gothic" w:hAnsi="Century Gothic"/>
              </w:rPr>
            </w:pPr>
            <w:r>
              <w:rPr>
                <w:rFonts w:ascii="Century Gothic" w:hAnsi="Century Gothic"/>
              </w:rPr>
              <w:t>5 years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Resumes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1 year</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r w:rsidRPr="00FC00F9">
              <w:rPr>
                <w:rFonts w:ascii="Century Gothic" w:hAnsi="Century Gothic"/>
                <w:b/>
              </w:rPr>
              <w:t>Insurance Records</w:t>
            </w: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Policies – occurrence types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Permanent</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Policies – claims made</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Permanent</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Accident reports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Fire Inspection reports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w:t>
            </w:r>
          </w:p>
        </w:tc>
      </w:tr>
      <w:tr w:rsidR="00FB16DE" w:rsidRPr="00FC00F9" w:rsidTr="00FC00F9">
        <w:tc>
          <w:tcPr>
            <w:tcW w:w="2723" w:type="dxa"/>
            <w:shd w:val="clear" w:color="auto" w:fill="auto"/>
          </w:tcPr>
          <w:p w:rsidR="00FB16DE" w:rsidRPr="00FB16DE" w:rsidRDefault="00FB16DE" w:rsidP="00FB16DE">
            <w:pPr>
              <w:jc w:val="center"/>
              <w:rPr>
                <w:rFonts w:ascii="Century Gothic" w:hAnsi="Century Gothic"/>
                <w:b/>
              </w:rPr>
            </w:pPr>
            <w:r w:rsidRPr="00FB16DE">
              <w:rPr>
                <w:rFonts w:ascii="Century Gothic" w:hAnsi="Century Gothic"/>
                <w:b/>
              </w:rPr>
              <w:lastRenderedPageBreak/>
              <w:t>File Category</w:t>
            </w:r>
          </w:p>
        </w:tc>
        <w:tc>
          <w:tcPr>
            <w:tcW w:w="5017" w:type="dxa"/>
            <w:shd w:val="clear" w:color="auto" w:fill="auto"/>
          </w:tcPr>
          <w:p w:rsidR="00FB16DE" w:rsidRPr="00FB16DE" w:rsidRDefault="00FB16DE" w:rsidP="00FB16DE">
            <w:pPr>
              <w:jc w:val="center"/>
              <w:rPr>
                <w:rFonts w:ascii="Century Gothic" w:hAnsi="Century Gothic"/>
                <w:b/>
              </w:rPr>
            </w:pPr>
            <w:r w:rsidRPr="00FB16DE">
              <w:rPr>
                <w:rFonts w:ascii="Century Gothic" w:hAnsi="Century Gothic"/>
                <w:b/>
              </w:rPr>
              <w:t>Item</w:t>
            </w:r>
          </w:p>
        </w:tc>
        <w:tc>
          <w:tcPr>
            <w:tcW w:w="2070" w:type="dxa"/>
            <w:shd w:val="clear" w:color="auto" w:fill="auto"/>
          </w:tcPr>
          <w:p w:rsidR="00FB16DE" w:rsidRPr="00FB16DE" w:rsidRDefault="00FB16DE" w:rsidP="00FB16DE">
            <w:pPr>
              <w:jc w:val="center"/>
              <w:rPr>
                <w:rFonts w:ascii="Century Gothic" w:hAnsi="Century Gothic"/>
                <w:b/>
              </w:rPr>
            </w:pPr>
            <w:r w:rsidRPr="00FB16DE">
              <w:rPr>
                <w:rFonts w:ascii="Century Gothic" w:hAnsi="Century Gothic"/>
                <w:b/>
              </w:rPr>
              <w:t>Retention Period</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OSHA reports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Group disability records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 after end of benefits</w:t>
            </w:r>
          </w:p>
        </w:tc>
      </w:tr>
      <w:tr w:rsidR="00586862" w:rsidRPr="00FC00F9" w:rsidTr="008259BC">
        <w:trPr>
          <w:trHeight w:val="58"/>
        </w:trPr>
        <w:tc>
          <w:tcPr>
            <w:tcW w:w="2723" w:type="dxa"/>
            <w:shd w:val="clear" w:color="auto" w:fill="auto"/>
          </w:tcPr>
          <w:p w:rsidR="00586862" w:rsidRPr="00FC00F9" w:rsidRDefault="00586862" w:rsidP="00586862">
            <w:pPr>
              <w:rPr>
                <w:rFonts w:ascii="Century Gothic" w:hAnsi="Century Gothic"/>
                <w:b/>
              </w:rPr>
            </w:pPr>
            <w:r w:rsidRPr="00FC00F9">
              <w:rPr>
                <w:rFonts w:ascii="Century Gothic" w:hAnsi="Century Gothic"/>
                <w:b/>
              </w:rPr>
              <w:t>Patient Files</w:t>
            </w:r>
          </w:p>
        </w:tc>
        <w:tc>
          <w:tcPr>
            <w:tcW w:w="5017" w:type="dxa"/>
            <w:shd w:val="clear" w:color="auto" w:fill="auto"/>
          </w:tcPr>
          <w:p w:rsidR="00586862" w:rsidRPr="00FC00F9" w:rsidRDefault="00586862" w:rsidP="00586862">
            <w:pPr>
              <w:rPr>
                <w:rFonts w:ascii="Century Gothic" w:hAnsi="Century Gothic"/>
              </w:rPr>
            </w:pPr>
            <w:r>
              <w:rPr>
                <w:rFonts w:ascii="Century Gothic" w:hAnsi="Century Gothic"/>
              </w:rPr>
              <w:t>All Health</w:t>
            </w:r>
            <w:r w:rsidRPr="00FC00F9">
              <w:rPr>
                <w:rFonts w:ascii="Century Gothic" w:hAnsi="Century Gothic"/>
              </w:rPr>
              <w:t xml:space="preserve"> Records – adult</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 after most recent encounter</w:t>
            </w:r>
          </w:p>
        </w:tc>
      </w:tr>
      <w:tr w:rsidR="00586862" w:rsidRPr="00FC00F9" w:rsidTr="008259BC">
        <w:trPr>
          <w:trHeight w:val="58"/>
        </w:trPr>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Pr>
                <w:rFonts w:ascii="Century Gothic" w:hAnsi="Century Gothic"/>
              </w:rPr>
              <w:t>All Health</w:t>
            </w:r>
            <w:r w:rsidRPr="00FC00F9">
              <w:rPr>
                <w:rFonts w:ascii="Century Gothic" w:hAnsi="Century Gothic"/>
              </w:rPr>
              <w:t xml:space="preserve"> Records - minor</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 xml:space="preserve">7 years after child reaches age of majority </w:t>
            </w:r>
          </w:p>
        </w:tc>
      </w:tr>
      <w:tr w:rsidR="00586862" w:rsidRPr="00FC00F9" w:rsidTr="008259BC">
        <w:trPr>
          <w:trHeight w:val="58"/>
        </w:trPr>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 xml:space="preserve">Patient Registration Forms </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2 years</w:t>
            </w:r>
            <w:r>
              <w:rPr>
                <w:rFonts w:ascii="Century Gothic" w:hAnsi="Century Gothic"/>
              </w:rPr>
              <w:t xml:space="preserve"> or updated</w:t>
            </w:r>
          </w:p>
        </w:tc>
      </w:tr>
      <w:tr w:rsidR="00586862" w:rsidRPr="00FC00F9" w:rsidTr="008259BC">
        <w:trPr>
          <w:trHeight w:val="58"/>
        </w:trPr>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Patient Proof of Income</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2 years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r w:rsidRPr="00FC00F9">
              <w:rPr>
                <w:rFonts w:ascii="Century Gothic" w:hAnsi="Century Gothic"/>
                <w:b/>
              </w:rPr>
              <w:t>Real Estate</w:t>
            </w: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Leases (expired)</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 after all obligation ends</w:t>
            </w:r>
          </w:p>
        </w:tc>
      </w:tr>
      <w:tr w:rsidR="00586862" w:rsidRPr="00FC00F9" w:rsidTr="00FC00F9">
        <w:tc>
          <w:tcPr>
            <w:tcW w:w="2723" w:type="dxa"/>
            <w:shd w:val="clear" w:color="auto" w:fill="auto"/>
          </w:tcPr>
          <w:p w:rsidR="00586862" w:rsidRPr="00FC00F9" w:rsidRDefault="00586862" w:rsidP="00586862">
            <w:pPr>
              <w:jc w:val="center"/>
              <w:rPr>
                <w:rFonts w:ascii="Century Gothic" w:hAnsi="Century Gothic"/>
                <w:b/>
              </w:rPr>
            </w:pPr>
          </w:p>
        </w:tc>
        <w:tc>
          <w:tcPr>
            <w:tcW w:w="5017" w:type="dxa"/>
            <w:shd w:val="clear" w:color="auto" w:fill="auto"/>
          </w:tcPr>
          <w:p w:rsidR="00586862" w:rsidRPr="007D3266" w:rsidRDefault="00586862" w:rsidP="00586862">
            <w:pPr>
              <w:rPr>
                <w:rFonts w:ascii="Century Gothic" w:hAnsi="Century Gothic"/>
              </w:rPr>
            </w:pPr>
            <w:r>
              <w:rPr>
                <w:rFonts w:ascii="Century Gothic" w:hAnsi="Century Gothic"/>
              </w:rPr>
              <w:t>Mortgages/Security Agreements</w:t>
            </w:r>
          </w:p>
        </w:tc>
        <w:tc>
          <w:tcPr>
            <w:tcW w:w="2070" w:type="dxa"/>
            <w:shd w:val="clear" w:color="auto" w:fill="auto"/>
          </w:tcPr>
          <w:p w:rsidR="00586862" w:rsidRPr="007D3266" w:rsidRDefault="00586862" w:rsidP="00586862">
            <w:pPr>
              <w:jc w:val="center"/>
              <w:rPr>
                <w:rFonts w:ascii="Century Gothic" w:hAnsi="Century Gothic"/>
              </w:rPr>
            </w:pPr>
            <w:r w:rsidRPr="007D3266">
              <w:rPr>
                <w:rFonts w:ascii="Century Gothic" w:hAnsi="Century Gothic"/>
              </w:rPr>
              <w:t>7 years after all obligation ends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Purchase agreements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 xml:space="preserve">7 years after disposition requirement </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r w:rsidRPr="00FC00F9">
              <w:rPr>
                <w:rFonts w:ascii="Century Gothic" w:hAnsi="Century Gothic"/>
                <w:b/>
              </w:rPr>
              <w:t>Tax</w:t>
            </w: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 xml:space="preserve">IRS Exemption </w:t>
            </w:r>
            <w:r>
              <w:rPr>
                <w:rFonts w:ascii="Century Gothic" w:hAnsi="Century Gothic"/>
              </w:rPr>
              <w:t>D</w:t>
            </w:r>
            <w:r w:rsidRPr="00FC00F9">
              <w:rPr>
                <w:rFonts w:ascii="Century Gothic" w:hAnsi="Century Gothic"/>
              </w:rPr>
              <w:t>etermination and related correspondence</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Permanent</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IRS Form 990</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Permanent</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Withholding tax statements</w:t>
            </w:r>
            <w:r>
              <w:rPr>
                <w:rFonts w:ascii="Century Gothic" w:hAnsi="Century Gothic"/>
              </w:rPr>
              <w:t xml:space="preserve"> (W-2)</w:t>
            </w:r>
          </w:p>
        </w:tc>
        <w:tc>
          <w:tcPr>
            <w:tcW w:w="2070" w:type="dxa"/>
            <w:shd w:val="clear" w:color="auto" w:fill="auto"/>
          </w:tcPr>
          <w:p w:rsidR="00586862" w:rsidRPr="00FC00F9" w:rsidRDefault="00586862" w:rsidP="00586862">
            <w:pPr>
              <w:rPr>
                <w:rFonts w:ascii="Century Gothic" w:hAnsi="Century Gothic"/>
              </w:rPr>
            </w:pPr>
            <w:r>
              <w:rPr>
                <w:rFonts w:ascii="Century Gothic" w:hAnsi="Century Gothic"/>
              </w:rPr>
              <w:t>Permanent</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Correspondence with legal counsel or accountants not otherwise listed</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 after return is filed</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Timecards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3 years</w:t>
            </w:r>
          </w:p>
        </w:tc>
      </w:tr>
      <w:tr w:rsidR="00586862" w:rsidRPr="00FC00F9" w:rsidTr="00FC00F9">
        <w:tc>
          <w:tcPr>
            <w:tcW w:w="2723" w:type="dxa"/>
            <w:shd w:val="clear" w:color="auto" w:fill="auto"/>
          </w:tcPr>
          <w:p w:rsidR="00586862" w:rsidRPr="00FC00F9" w:rsidRDefault="00586862" w:rsidP="00586862">
            <w:pPr>
              <w:rPr>
                <w:rFonts w:ascii="Century Gothic" w:hAnsi="Century Gothic"/>
                <w:b/>
              </w:rPr>
            </w:pPr>
            <w:r w:rsidRPr="00FC00F9">
              <w:rPr>
                <w:rFonts w:ascii="Century Gothic" w:hAnsi="Century Gothic"/>
                <w:b/>
              </w:rPr>
              <w:t>Technology</w:t>
            </w:r>
          </w:p>
        </w:tc>
        <w:tc>
          <w:tcPr>
            <w:tcW w:w="5017" w:type="dxa"/>
            <w:shd w:val="clear" w:color="auto" w:fill="auto"/>
          </w:tcPr>
          <w:p w:rsidR="00586862" w:rsidRPr="00FC00F9" w:rsidRDefault="00586862" w:rsidP="00586862">
            <w:pPr>
              <w:rPr>
                <w:rFonts w:ascii="Century Gothic" w:hAnsi="Century Gothic"/>
              </w:rPr>
            </w:pPr>
            <w:r w:rsidRPr="00FC00F9">
              <w:rPr>
                <w:rFonts w:ascii="Century Gothic" w:hAnsi="Century Gothic"/>
              </w:rPr>
              <w:t>Software licenses and support agreements</w:t>
            </w:r>
          </w:p>
        </w:tc>
        <w:tc>
          <w:tcPr>
            <w:tcW w:w="2070" w:type="dxa"/>
            <w:shd w:val="clear" w:color="auto" w:fill="auto"/>
          </w:tcPr>
          <w:p w:rsidR="00586862" w:rsidRPr="00FC00F9" w:rsidRDefault="00586862" w:rsidP="00586862">
            <w:pPr>
              <w:rPr>
                <w:rFonts w:ascii="Century Gothic" w:hAnsi="Century Gothic"/>
              </w:rPr>
            </w:pPr>
            <w:r w:rsidRPr="00FC00F9">
              <w:rPr>
                <w:rFonts w:ascii="Century Gothic" w:hAnsi="Century Gothic"/>
              </w:rPr>
              <w:t>7 years after all obligations ends</w:t>
            </w:r>
          </w:p>
        </w:tc>
      </w:tr>
    </w:tbl>
    <w:p w:rsidR="00FC00F9" w:rsidRPr="00FC00F9" w:rsidRDefault="00FC00F9" w:rsidP="00FC00F9">
      <w:pPr>
        <w:rPr>
          <w:rFonts w:ascii="Century Gothic" w:hAnsi="Century Gothic"/>
        </w:rPr>
      </w:pPr>
    </w:p>
    <w:p w:rsidR="0065110E" w:rsidRPr="00FC00F9" w:rsidRDefault="0065110E" w:rsidP="007E61E4">
      <w:pPr>
        <w:pStyle w:val="NoSpacing"/>
        <w:rPr>
          <w:rFonts w:ascii="Century Gothic" w:hAnsi="Century Gothic"/>
        </w:rPr>
      </w:pPr>
      <w:bookmarkStart w:id="1" w:name="_GoBack"/>
      <w:bookmarkEnd w:id="1"/>
    </w:p>
    <w:sectPr w:rsidR="0065110E" w:rsidRPr="00FC00F9" w:rsidSect="0055604A">
      <w:footerReference w:type="default" r:id="rId8"/>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23" w:rsidRDefault="00D71223" w:rsidP="008B54D1">
      <w:r>
        <w:separator/>
      </w:r>
    </w:p>
  </w:endnote>
  <w:endnote w:type="continuationSeparator" w:id="0">
    <w:p w:rsidR="00D71223" w:rsidRDefault="00D71223" w:rsidP="008B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D1" w:rsidRPr="00937E90" w:rsidRDefault="00937E90">
    <w:pPr>
      <w:pStyle w:val="Footer"/>
      <w:rPr>
        <w:rFonts w:ascii="Century Gothic" w:hAnsi="Century Gothic"/>
        <w:sz w:val="18"/>
        <w:szCs w:val="18"/>
      </w:rPr>
    </w:pPr>
    <w:r w:rsidRPr="00937E90">
      <w:rPr>
        <w:rFonts w:ascii="Century Gothic" w:hAnsi="Century Gothic"/>
        <w:sz w:val="18"/>
        <w:szCs w:val="18"/>
      </w:rPr>
      <w:t>Created:  7.2017</w:t>
    </w:r>
  </w:p>
  <w:p w:rsidR="00937E90" w:rsidRPr="00937E90" w:rsidRDefault="00937E90">
    <w:pPr>
      <w:pStyle w:val="Footer"/>
      <w:rPr>
        <w:rFonts w:ascii="Century Gothic" w:hAnsi="Century Gothic"/>
        <w:sz w:val="18"/>
        <w:szCs w:val="18"/>
      </w:rPr>
    </w:pPr>
    <w:r w:rsidRPr="00937E90">
      <w:rPr>
        <w:rFonts w:ascii="Century Gothic" w:hAnsi="Century Gothic"/>
        <w:sz w:val="18"/>
        <w:szCs w:val="18"/>
      </w:rPr>
      <w:t>Reviewed/Revised:  3.2018</w:t>
    </w:r>
  </w:p>
  <w:p w:rsidR="00937E90" w:rsidRPr="00937E90" w:rsidRDefault="00937E90">
    <w:pPr>
      <w:pStyle w:val="Footer"/>
      <w:rPr>
        <w:rFonts w:ascii="Century Gothic" w:hAnsi="Century Gothic"/>
        <w:sz w:val="18"/>
        <w:szCs w:val="18"/>
      </w:rPr>
    </w:pPr>
    <w:r w:rsidRPr="00937E90">
      <w:rPr>
        <w:rFonts w:ascii="Century Gothic" w:hAnsi="Century Gothic"/>
        <w:sz w:val="18"/>
        <w:szCs w:val="18"/>
      </w:rPr>
      <w:t>Due:  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23" w:rsidRDefault="00D71223" w:rsidP="008B54D1">
      <w:r>
        <w:separator/>
      </w:r>
    </w:p>
  </w:footnote>
  <w:footnote w:type="continuationSeparator" w:id="0">
    <w:p w:rsidR="00D71223" w:rsidRDefault="00D71223" w:rsidP="008B5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E4"/>
    <w:rsid w:val="00103CA5"/>
    <w:rsid w:val="002B0686"/>
    <w:rsid w:val="00313121"/>
    <w:rsid w:val="004D6C61"/>
    <w:rsid w:val="0055604A"/>
    <w:rsid w:val="00586862"/>
    <w:rsid w:val="0065110E"/>
    <w:rsid w:val="007036E3"/>
    <w:rsid w:val="007D3266"/>
    <w:rsid w:val="007E61E4"/>
    <w:rsid w:val="008259BC"/>
    <w:rsid w:val="00825B41"/>
    <w:rsid w:val="008B54D1"/>
    <w:rsid w:val="008D5B30"/>
    <w:rsid w:val="00937E90"/>
    <w:rsid w:val="00A345E4"/>
    <w:rsid w:val="00C90422"/>
    <w:rsid w:val="00CE6B9D"/>
    <w:rsid w:val="00D71223"/>
    <w:rsid w:val="00ED73C8"/>
    <w:rsid w:val="00F02C18"/>
    <w:rsid w:val="00F77D25"/>
    <w:rsid w:val="00FB16DE"/>
    <w:rsid w:val="00FC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9C0CE-8F1C-479E-B6BD-1D136DAB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ing">
    <w:name w:val="list heading"/>
    <w:basedOn w:val="Normal"/>
    <w:rsid w:val="007E61E4"/>
    <w:pPr>
      <w:spacing w:after="120"/>
    </w:pPr>
    <w:rPr>
      <w:rFonts w:ascii="Trebuchet MS" w:hAnsi="Trebuchet MS"/>
      <w:b/>
      <w:sz w:val="20"/>
      <w:szCs w:val="20"/>
    </w:rPr>
  </w:style>
  <w:style w:type="paragraph" w:customStyle="1" w:styleId="Listbulletindented">
    <w:name w:val="List bullet indented"/>
    <w:basedOn w:val="ListBullet"/>
    <w:rsid w:val="007E61E4"/>
    <w:pPr>
      <w:contextualSpacing w:val="0"/>
    </w:pPr>
    <w:rPr>
      <w:rFonts w:ascii="Trebuchet MS" w:hAnsi="Trebuchet MS"/>
      <w:sz w:val="20"/>
      <w:szCs w:val="20"/>
    </w:rPr>
  </w:style>
  <w:style w:type="paragraph" w:styleId="ListBullet">
    <w:name w:val="List Bullet"/>
    <w:basedOn w:val="Normal"/>
    <w:uiPriority w:val="99"/>
    <w:semiHidden/>
    <w:unhideWhenUsed/>
    <w:rsid w:val="007E61E4"/>
    <w:pPr>
      <w:tabs>
        <w:tab w:val="num" w:pos="720"/>
      </w:tabs>
      <w:ind w:left="720" w:hanging="360"/>
      <w:contextualSpacing/>
    </w:pPr>
  </w:style>
  <w:style w:type="paragraph" w:styleId="NoSpacing">
    <w:name w:val="No Spacing"/>
    <w:uiPriority w:val="1"/>
    <w:qFormat/>
    <w:rsid w:val="007E61E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0422"/>
  </w:style>
  <w:style w:type="character" w:styleId="Hyperlink">
    <w:name w:val="Hyperlink"/>
    <w:basedOn w:val="DefaultParagraphFont"/>
    <w:uiPriority w:val="99"/>
    <w:semiHidden/>
    <w:unhideWhenUsed/>
    <w:rsid w:val="00C90422"/>
    <w:rPr>
      <w:color w:val="0000FF"/>
      <w:u w:val="single"/>
    </w:rPr>
  </w:style>
  <w:style w:type="paragraph" w:styleId="Header">
    <w:name w:val="header"/>
    <w:basedOn w:val="Normal"/>
    <w:link w:val="HeaderChar"/>
    <w:uiPriority w:val="99"/>
    <w:unhideWhenUsed/>
    <w:rsid w:val="008B54D1"/>
    <w:pPr>
      <w:tabs>
        <w:tab w:val="center" w:pos="4680"/>
        <w:tab w:val="right" w:pos="9360"/>
      </w:tabs>
    </w:pPr>
  </w:style>
  <w:style w:type="character" w:customStyle="1" w:styleId="HeaderChar">
    <w:name w:val="Header Char"/>
    <w:basedOn w:val="DefaultParagraphFont"/>
    <w:link w:val="Header"/>
    <w:uiPriority w:val="99"/>
    <w:rsid w:val="008B54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4D1"/>
    <w:pPr>
      <w:tabs>
        <w:tab w:val="center" w:pos="4680"/>
        <w:tab w:val="right" w:pos="9360"/>
      </w:tabs>
    </w:pPr>
  </w:style>
  <w:style w:type="character" w:customStyle="1" w:styleId="FooterChar">
    <w:name w:val="Footer Char"/>
    <w:basedOn w:val="DefaultParagraphFont"/>
    <w:link w:val="Footer"/>
    <w:uiPriority w:val="99"/>
    <w:rsid w:val="008B54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1FC6D-4736-4E78-B324-F48C5851EAC7}"/>
</file>

<file path=customXml/itemProps2.xml><?xml version="1.0" encoding="utf-8"?>
<ds:datastoreItem xmlns:ds="http://schemas.openxmlformats.org/officeDocument/2006/customXml" ds:itemID="{9B790C1C-845A-4FA1-9F4C-C58624E7385B}"/>
</file>

<file path=customXml/itemProps3.xml><?xml version="1.0" encoding="utf-8"?>
<ds:datastoreItem xmlns:ds="http://schemas.openxmlformats.org/officeDocument/2006/customXml" ds:itemID="{E3A30F9A-EBC2-4B59-AB82-D1A5ECB30015}"/>
</file>

<file path=docProps/app.xml><?xml version="1.0" encoding="utf-8"?>
<Properties xmlns="http://schemas.openxmlformats.org/officeDocument/2006/extended-properties" xmlns:vt="http://schemas.openxmlformats.org/officeDocument/2006/docPropsVTypes">
  <Template>Normal</Template>
  <TotalTime>155</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 Martin's</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Stafford</dc:creator>
  <cp:keywords/>
  <dc:description/>
  <cp:lastModifiedBy>Tammy Stafford</cp:lastModifiedBy>
  <cp:revision>9</cp:revision>
  <dcterms:created xsi:type="dcterms:W3CDTF">2017-06-19T17:39:00Z</dcterms:created>
  <dcterms:modified xsi:type="dcterms:W3CDTF">2018-05-09T15:38:00Z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0x010100A3192E251D73E5429108B6BB642E4A32</vt:lpwstr>
  </property>
</Properties>
</file>